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053F9" w14:textId="77777777" w:rsidR="00884575" w:rsidRPr="0090118F" w:rsidRDefault="00A4644F" w:rsidP="00753EEE">
      <w:pPr>
        <w:pBdr>
          <w:bottom w:val="single" w:sz="4" w:space="1" w:color="auto"/>
        </w:pBdr>
        <w:spacing w:before="100" w:beforeAutospacing="1" w:after="100" w:afterAutospacing="1"/>
        <w:rPr>
          <w:snapToGrid w:val="0"/>
          <w:sz w:val="18"/>
        </w:rPr>
      </w:pPr>
      <w:r w:rsidRPr="00A4644F">
        <w:rPr>
          <w:noProof/>
          <w:snapToGrid w:val="0"/>
          <w:sz w:val="18"/>
        </w:rPr>
        <w:drawing>
          <wp:anchor distT="0" distB="0" distL="114300" distR="114300" simplePos="0" relativeHeight="251658752" behindDoc="0" locked="0" layoutInCell="1" allowOverlap="1" wp14:anchorId="1F076F50" wp14:editId="7B462388">
            <wp:simplePos x="0" y="0"/>
            <wp:positionH relativeFrom="column">
              <wp:posOffset>2621915</wp:posOffset>
            </wp:positionH>
            <wp:positionV relativeFrom="paragraph">
              <wp:posOffset>-164465</wp:posOffset>
            </wp:positionV>
            <wp:extent cx="1685925" cy="816610"/>
            <wp:effectExtent l="0" t="0" r="0" b="2540"/>
            <wp:wrapNone/>
            <wp:docPr id="42" name="Image 13"/>
            <wp:cNvGraphicFramePr/>
            <a:graphic xmlns:a="http://schemas.openxmlformats.org/drawingml/2006/main">
              <a:graphicData uri="http://schemas.openxmlformats.org/drawingml/2006/picture">
                <pic:pic xmlns:pic="http://schemas.openxmlformats.org/drawingml/2006/picture">
                  <pic:nvPicPr>
                    <pic:cNvPr id="14" name="Image 13"/>
                    <pic:cNvPicPr/>
                  </pic:nvPicPr>
                  <pic:blipFill rotWithShape="1">
                    <a:blip r:embed="rId8" cstate="print">
                      <a:extLst>
                        <a:ext uri="{28A0092B-C50C-407E-A947-70E740481C1C}">
                          <a14:useLocalDpi xmlns:a14="http://schemas.microsoft.com/office/drawing/2010/main" val="0"/>
                        </a:ext>
                      </a:extLst>
                    </a:blip>
                    <a:srcRect l="14815" t="22714" r="13975" b="24813"/>
                    <a:stretch/>
                  </pic:blipFill>
                  <pic:spPr bwMode="auto">
                    <a:xfrm>
                      <a:off x="0" y="0"/>
                      <a:ext cx="1685925" cy="816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644F">
        <w:rPr>
          <w:noProof/>
          <w:snapToGrid w:val="0"/>
          <w:sz w:val="18"/>
        </w:rPr>
        <w:drawing>
          <wp:anchor distT="0" distB="0" distL="114300" distR="114300" simplePos="0" relativeHeight="251661824" behindDoc="0" locked="0" layoutInCell="1" allowOverlap="1" wp14:anchorId="4CCDFF95" wp14:editId="15D2D59E">
            <wp:simplePos x="0" y="0"/>
            <wp:positionH relativeFrom="column">
              <wp:posOffset>5374640</wp:posOffset>
            </wp:positionH>
            <wp:positionV relativeFrom="paragraph">
              <wp:posOffset>-248285</wp:posOffset>
            </wp:positionV>
            <wp:extent cx="819150" cy="896838"/>
            <wp:effectExtent l="0" t="0" r="0" b="0"/>
            <wp:wrapNone/>
            <wp:docPr id="35" name="Image 14" descr="Marianne_Anses_logotype_rvb"/>
            <wp:cNvGraphicFramePr/>
            <a:graphic xmlns:a="http://schemas.openxmlformats.org/drawingml/2006/main">
              <a:graphicData uri="http://schemas.openxmlformats.org/drawingml/2006/picture">
                <pic:pic xmlns:pic="http://schemas.openxmlformats.org/drawingml/2006/picture">
                  <pic:nvPicPr>
                    <pic:cNvPr id="15" name="Image 14" descr="Marianne_Anses_logotype_rvb"/>
                    <pic:cNvPicPr/>
                  </pic:nvPicPr>
                  <pic:blipFill rotWithShape="1">
                    <a:blip r:embed="rId9">
                      <a:extLst>
                        <a:ext uri="{28A0092B-C50C-407E-A947-70E740481C1C}">
                          <a14:useLocalDpi xmlns:a14="http://schemas.microsoft.com/office/drawing/2010/main" val="0"/>
                        </a:ext>
                      </a:extLst>
                    </a:blip>
                    <a:srcRect l="64554"/>
                    <a:stretch/>
                  </pic:blipFill>
                  <pic:spPr bwMode="auto">
                    <a:xfrm>
                      <a:off x="0" y="0"/>
                      <a:ext cx="819150" cy="896838"/>
                    </a:xfrm>
                    <a:prstGeom prst="rect">
                      <a:avLst/>
                    </a:prstGeom>
                    <a:noFill/>
                    <a:ln>
                      <a:noFill/>
                    </a:ln>
                  </pic:spPr>
                </pic:pic>
              </a:graphicData>
            </a:graphic>
            <wp14:sizeRelH relativeFrom="page">
              <wp14:pctWidth>0</wp14:pctWidth>
            </wp14:sizeRelH>
            <wp14:sizeRelV relativeFrom="page">
              <wp14:pctHeight>0</wp14:pctHeight>
            </wp14:sizeRelV>
          </wp:anchor>
        </w:drawing>
      </w:r>
      <w:r w:rsidR="00884575" w:rsidRPr="0090118F">
        <w:rPr>
          <w:snapToGrid w:val="0"/>
          <w:sz w:val="18"/>
        </w:rPr>
        <w:t xml:space="preserve"> </w:t>
      </w:r>
      <w:r w:rsidR="002B32F3" w:rsidRPr="002B32F3">
        <w:rPr>
          <w:noProof/>
          <w:snapToGrid w:val="0"/>
          <w:sz w:val="18"/>
        </w:rPr>
        <w:drawing>
          <wp:inline distT="0" distB="0" distL="0" distR="0" wp14:anchorId="5459C3BF" wp14:editId="12B75CD1">
            <wp:extent cx="1638604" cy="585926"/>
            <wp:effectExtent l="0" t="0" r="0" b="0"/>
            <wp:docPr id="40" name="Image 13" descr="CITP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3" descr="CITPPM.jpg"/>
                    <pic:cNvPicPr>
                      <a:picLocks noChangeAspect="1"/>
                    </pic:cNvPicPr>
                  </pic:nvPicPr>
                  <pic:blipFill rotWithShape="1">
                    <a:blip r:embed="rId10" cstate="print">
                      <a:clrChange>
                        <a:clrFrom>
                          <a:srgbClr val="FFFFFF"/>
                        </a:clrFrom>
                        <a:clrTo>
                          <a:srgbClr val="FFFFFF">
                            <a:alpha val="0"/>
                          </a:srgbClr>
                        </a:clrTo>
                      </a:clrChange>
                    </a:blip>
                    <a:srcRect r="21428" b="-691"/>
                    <a:stretch/>
                  </pic:blipFill>
                  <pic:spPr bwMode="auto">
                    <a:xfrm>
                      <a:off x="0" y="0"/>
                      <a:ext cx="1638604" cy="585926"/>
                    </a:xfrm>
                    <a:prstGeom prst="rect">
                      <a:avLst/>
                    </a:prstGeom>
                    <a:ln>
                      <a:noFill/>
                    </a:ln>
                    <a:extLst>
                      <a:ext uri="{53640926-AAD7-44D8-BBD7-CCE9431645EC}">
                        <a14:shadowObscured xmlns:a14="http://schemas.microsoft.com/office/drawing/2010/main"/>
                      </a:ext>
                    </a:extLst>
                  </pic:spPr>
                </pic:pic>
              </a:graphicData>
            </a:graphic>
          </wp:inline>
        </w:drawing>
      </w:r>
    </w:p>
    <w:p w14:paraId="49026334" w14:textId="77777777" w:rsidR="00884575" w:rsidRPr="0090118F" w:rsidRDefault="00884575" w:rsidP="00FC0CD4">
      <w:pPr>
        <w:spacing w:before="100" w:beforeAutospacing="1" w:after="100" w:afterAutospacing="1"/>
        <w:rPr>
          <w:snapToGrid w:val="0"/>
          <w:sz w:val="18"/>
        </w:rPr>
      </w:pPr>
    </w:p>
    <w:p w14:paraId="7BA4A35E" w14:textId="77777777" w:rsidR="00884575" w:rsidRPr="0090118F" w:rsidRDefault="00884575" w:rsidP="00FC0CD4">
      <w:pPr>
        <w:spacing w:before="100" w:beforeAutospacing="1" w:after="100" w:afterAutospacing="1"/>
        <w:rPr>
          <w:b/>
          <w:snapToGrid w:val="0"/>
          <w:sz w:val="28"/>
          <w:szCs w:val="28"/>
        </w:rPr>
      </w:pPr>
    </w:p>
    <w:p w14:paraId="761C5969" w14:textId="77777777" w:rsidR="00D87D26" w:rsidRPr="0090118F" w:rsidRDefault="00A4644F" w:rsidP="00FC0CD4">
      <w:pPr>
        <w:spacing w:before="100" w:beforeAutospacing="1" w:after="100" w:afterAutospacing="1"/>
        <w:ind w:left="2124"/>
        <w:rPr>
          <w:sz w:val="28"/>
          <w:szCs w:val="28"/>
        </w:rPr>
      </w:pPr>
      <w:r w:rsidRPr="00A4644F">
        <w:rPr>
          <w:sz w:val="28"/>
          <w:szCs w:val="28"/>
        </w:rPr>
        <w:t xml:space="preserve">Inventaire et développement d’un outil performant de PCR pour la détermination des complexes clonaux de souches de </w:t>
      </w:r>
      <w:r w:rsidRPr="005348CA">
        <w:rPr>
          <w:i/>
          <w:sz w:val="28"/>
          <w:szCs w:val="28"/>
        </w:rPr>
        <w:t xml:space="preserve">Listeria </w:t>
      </w:r>
      <w:proofErr w:type="spellStart"/>
      <w:r w:rsidRPr="005348CA">
        <w:rPr>
          <w:i/>
          <w:sz w:val="28"/>
          <w:szCs w:val="28"/>
        </w:rPr>
        <w:t>monocytogenes</w:t>
      </w:r>
      <w:proofErr w:type="spellEnd"/>
      <w:r w:rsidRPr="00A4644F">
        <w:rPr>
          <w:sz w:val="28"/>
          <w:szCs w:val="28"/>
        </w:rPr>
        <w:t xml:space="preserve"> isolées dans la filière des produits de la pêche et de l’aquaculture</w:t>
      </w:r>
    </w:p>
    <w:p w14:paraId="389F128C" w14:textId="77777777" w:rsidR="00D87D26" w:rsidRPr="0090118F" w:rsidRDefault="00D87D26" w:rsidP="00FC0CD4">
      <w:pPr>
        <w:spacing w:before="100" w:beforeAutospacing="1" w:after="100" w:afterAutospacing="1"/>
        <w:rPr>
          <w:b/>
        </w:rPr>
      </w:pPr>
    </w:p>
    <w:p w14:paraId="49975302" w14:textId="77777777" w:rsidR="00884575" w:rsidRPr="0090118F" w:rsidRDefault="00884575" w:rsidP="00FC0CD4">
      <w:pPr>
        <w:spacing w:before="100" w:beforeAutospacing="1" w:after="100" w:afterAutospacing="1"/>
        <w:rPr>
          <w:b/>
          <w:sz w:val="28"/>
        </w:rPr>
      </w:pPr>
      <w:r w:rsidRPr="0090118F">
        <w:rPr>
          <w:b/>
          <w:sz w:val="28"/>
        </w:rPr>
        <w:t xml:space="preserve">Rapport final – </w:t>
      </w:r>
      <w:r w:rsidR="00A4644F">
        <w:rPr>
          <w:b/>
          <w:sz w:val="28"/>
        </w:rPr>
        <w:t>Mai</w:t>
      </w:r>
      <w:r w:rsidR="00194035" w:rsidRPr="0090118F">
        <w:rPr>
          <w:b/>
          <w:sz w:val="28"/>
        </w:rPr>
        <w:t xml:space="preserve"> </w:t>
      </w:r>
      <w:r w:rsidRPr="0090118F">
        <w:rPr>
          <w:b/>
          <w:sz w:val="28"/>
        </w:rPr>
        <w:t>20</w:t>
      </w:r>
      <w:r w:rsidR="00A4644F">
        <w:rPr>
          <w:b/>
          <w:sz w:val="28"/>
        </w:rPr>
        <w:t>21</w:t>
      </w:r>
    </w:p>
    <w:p w14:paraId="4D585EE0" w14:textId="77777777" w:rsidR="00884575" w:rsidRPr="0090118F" w:rsidRDefault="00884575" w:rsidP="00FC0CD4">
      <w:pPr>
        <w:spacing w:before="100" w:beforeAutospacing="1" w:after="100" w:afterAutospacing="1"/>
        <w:rPr>
          <w:b/>
          <w:snapToGrid w:val="0"/>
        </w:rPr>
      </w:pPr>
    </w:p>
    <w:p w14:paraId="523C8779" w14:textId="2AB80DA2" w:rsidR="00884575" w:rsidRPr="0090118F" w:rsidRDefault="00884575" w:rsidP="00FC0CD4">
      <w:pPr>
        <w:tabs>
          <w:tab w:val="right" w:leader="dot" w:pos="9072"/>
        </w:tabs>
        <w:spacing w:before="100" w:beforeAutospacing="1" w:after="100" w:afterAutospacing="1"/>
      </w:pPr>
      <w:r w:rsidRPr="0090118F">
        <w:rPr>
          <w:b/>
        </w:rPr>
        <w:t>DEMANDEUR ou CHEF DE FILE</w:t>
      </w:r>
      <w:r w:rsidRPr="0090118F">
        <w:t xml:space="preserve"> (si plusieurs organismes participent au projet) : </w:t>
      </w:r>
      <w:r w:rsidR="00E01E4C" w:rsidRPr="00E01E4C">
        <w:t>Confédération des Industries de Traitements des Produits des Pêches Maritimes et de l’Aquaculture (CITPPM)</w:t>
      </w:r>
    </w:p>
    <w:p w14:paraId="77260D76" w14:textId="0356BCB2" w:rsidR="00884575" w:rsidRDefault="00884575" w:rsidP="00E01E4C">
      <w:r w:rsidRPr="0090118F">
        <w:rPr>
          <w:b/>
        </w:rPr>
        <w:t>PARTENAIRES</w:t>
      </w:r>
      <w:r w:rsidRPr="0090118F">
        <w:t xml:space="preserve"> : </w:t>
      </w:r>
      <w:r w:rsidR="00240E34" w:rsidRPr="0090118F">
        <w:t>Anses site</w:t>
      </w:r>
      <w:r w:rsidR="00240E34">
        <w:t xml:space="preserve"> de</w:t>
      </w:r>
      <w:r w:rsidR="00240E34" w:rsidRPr="0090118F">
        <w:t xml:space="preserve"> Boulogne sur Mer</w:t>
      </w:r>
      <w:r w:rsidR="00240E34">
        <w:t xml:space="preserve"> et site de Maisons Alfort</w:t>
      </w:r>
      <w:r w:rsidR="00795192">
        <w:t xml:space="preserve"> </w:t>
      </w:r>
      <w:r w:rsidR="00E01E4C">
        <w:t xml:space="preserve">(Collaboration scientifique via un groupe de travail avec l’IFIP, ACTALIA de Saint </w:t>
      </w:r>
      <w:proofErr w:type="spellStart"/>
      <w:r w:rsidR="00E01E4C">
        <w:t>Lô</w:t>
      </w:r>
      <w:proofErr w:type="spellEnd"/>
      <w:r w:rsidR="00E01E4C">
        <w:t xml:space="preserve"> et l’ADRIA de Quimper).</w:t>
      </w:r>
    </w:p>
    <w:p w14:paraId="09DF6646" w14:textId="6291D39E" w:rsidR="00884575" w:rsidRPr="0090118F" w:rsidRDefault="00884575" w:rsidP="00FC0CD4">
      <w:pPr>
        <w:tabs>
          <w:tab w:val="right" w:leader="dot" w:pos="9072"/>
        </w:tabs>
        <w:spacing w:before="100" w:beforeAutospacing="1" w:after="100" w:afterAutospacing="1"/>
      </w:pPr>
      <w:r w:rsidRPr="0090118F">
        <w:rPr>
          <w:b/>
        </w:rPr>
        <w:t>DURÉE DU PROJET</w:t>
      </w:r>
      <w:r w:rsidRPr="0090118F">
        <w:t xml:space="preserve"> : </w:t>
      </w:r>
      <w:r w:rsidR="0071080E" w:rsidRPr="0090118F">
        <w:t>1</w:t>
      </w:r>
      <w:r w:rsidR="00240E34">
        <w:t>2</w:t>
      </w:r>
      <w:r w:rsidRPr="0090118F">
        <w:t xml:space="preserve"> mois</w:t>
      </w:r>
      <w:r w:rsidR="00D84F73">
        <w:t xml:space="preserve"> (prolongation de 5 mois)</w:t>
      </w:r>
    </w:p>
    <w:p w14:paraId="5A634F63" w14:textId="77777777" w:rsidR="0071080E" w:rsidRPr="0090118F" w:rsidRDefault="00884575" w:rsidP="00FC0CD4">
      <w:pPr>
        <w:tabs>
          <w:tab w:val="right" w:leader="dot" w:pos="9072"/>
        </w:tabs>
        <w:spacing w:before="100" w:beforeAutospacing="1" w:after="100" w:afterAutospacing="1"/>
      </w:pPr>
      <w:r w:rsidRPr="0090118F">
        <w:rPr>
          <w:b/>
        </w:rPr>
        <w:t>LIEU PRINCIPAL D’EXÉCUTION</w:t>
      </w:r>
      <w:r w:rsidRPr="0090118F">
        <w:t xml:space="preserve"> : </w:t>
      </w:r>
      <w:r w:rsidR="00240E34" w:rsidRPr="0090118F">
        <w:t>Anses site</w:t>
      </w:r>
      <w:r w:rsidR="00240E34">
        <w:t xml:space="preserve"> de</w:t>
      </w:r>
      <w:r w:rsidR="00240E34" w:rsidRPr="0090118F">
        <w:t xml:space="preserve"> Boulogne sur Mer</w:t>
      </w:r>
      <w:r w:rsidR="00240E34">
        <w:t xml:space="preserve"> et site de Maisons Alfort</w:t>
      </w:r>
    </w:p>
    <w:p w14:paraId="2EE97F81" w14:textId="3D8F4EAF" w:rsidR="00884575" w:rsidRPr="0090118F" w:rsidRDefault="0071080E" w:rsidP="00373F8A">
      <w:pPr>
        <w:tabs>
          <w:tab w:val="right" w:leader="dot" w:pos="9072"/>
        </w:tabs>
        <w:spacing w:before="100" w:beforeAutospacing="1" w:after="100" w:afterAutospacing="1"/>
        <w:rPr>
          <w:snapToGrid w:val="0"/>
        </w:rPr>
      </w:pPr>
      <w:r w:rsidRPr="0090118F">
        <w:rPr>
          <w:b/>
        </w:rPr>
        <w:t xml:space="preserve">ACRONYME : </w:t>
      </w:r>
      <w:r w:rsidR="00240E34">
        <w:rPr>
          <w:b/>
        </w:rPr>
        <w:t>TYPL</w:t>
      </w:r>
      <w:r w:rsidR="00D84F73">
        <w:rPr>
          <w:b/>
        </w:rPr>
        <w:t>M</w:t>
      </w:r>
    </w:p>
    <w:p w14:paraId="320FA2BE" w14:textId="77777777" w:rsidR="00BB4D89" w:rsidRPr="0090118F" w:rsidRDefault="00884575" w:rsidP="00FC0CD4">
      <w:pPr>
        <w:spacing w:before="100" w:beforeAutospacing="1" w:after="100" w:afterAutospacing="1"/>
        <w:rPr>
          <w:rFonts w:asciiTheme="majorHAnsi" w:hAnsiTheme="majorHAnsi"/>
          <w:b/>
          <w:i/>
          <w:caps/>
          <w:snapToGrid w:val="0"/>
        </w:rPr>
      </w:pPr>
      <w:r w:rsidRPr="0090118F">
        <w:rPr>
          <w:snapToGrid w:val="0"/>
          <w:sz w:val="23"/>
        </w:rPr>
        <w:br w:type="page"/>
      </w:r>
      <w:r w:rsidR="00A25C14" w:rsidRPr="0090118F">
        <w:rPr>
          <w:rFonts w:asciiTheme="majorHAnsi" w:hAnsiTheme="majorHAnsi"/>
          <w:b/>
          <w:snapToGrid w:val="0"/>
          <w:sz w:val="23"/>
        </w:rPr>
        <w:lastRenderedPageBreak/>
        <w:t>TABLE DES MATIERES</w:t>
      </w:r>
    </w:p>
    <w:p w14:paraId="0B53A7F9" w14:textId="5623B5E1" w:rsidR="00EA3623" w:rsidRDefault="005F30DB">
      <w:pPr>
        <w:pStyle w:val="TM1"/>
        <w:tabs>
          <w:tab w:val="right" w:leader="dot" w:pos="10194"/>
        </w:tabs>
        <w:rPr>
          <w:rFonts w:asciiTheme="minorHAnsi" w:eastAsiaTheme="minorEastAsia" w:hAnsiTheme="minorHAnsi" w:cstheme="minorBidi"/>
          <w:b w:val="0"/>
          <w:bCs w:val="0"/>
          <w:i w:val="0"/>
          <w:iCs w:val="0"/>
          <w:noProof/>
          <w:sz w:val="22"/>
          <w:szCs w:val="22"/>
          <w:lang w:eastAsia="fr-FR" w:bidi="ar-SA"/>
        </w:rPr>
      </w:pPr>
      <w:r>
        <w:fldChar w:fldCharType="begin"/>
      </w:r>
      <w:r>
        <w:instrText xml:space="preserve"> TOC \o "1-3" \h \z \u </w:instrText>
      </w:r>
      <w:r>
        <w:fldChar w:fldCharType="separate"/>
      </w:r>
      <w:hyperlink w:anchor="_Toc73027848" w:history="1">
        <w:r w:rsidR="00EA3623" w:rsidRPr="0044282E">
          <w:rPr>
            <w:rStyle w:val="Lienhypertexte"/>
            <w:noProof/>
            <w:snapToGrid w:val="0"/>
          </w:rPr>
          <w:t>TABLE DES ILLUSTRATIONS</w:t>
        </w:r>
        <w:r w:rsidR="00EA3623">
          <w:rPr>
            <w:noProof/>
            <w:webHidden/>
          </w:rPr>
          <w:tab/>
        </w:r>
        <w:r w:rsidR="00EA3623">
          <w:rPr>
            <w:noProof/>
            <w:webHidden/>
          </w:rPr>
          <w:fldChar w:fldCharType="begin"/>
        </w:r>
        <w:r w:rsidR="00EA3623">
          <w:rPr>
            <w:noProof/>
            <w:webHidden/>
          </w:rPr>
          <w:instrText xml:space="preserve"> PAGEREF _Toc73027848 \h </w:instrText>
        </w:r>
        <w:r w:rsidR="00EA3623">
          <w:rPr>
            <w:noProof/>
            <w:webHidden/>
          </w:rPr>
        </w:r>
        <w:r w:rsidR="00EA3623">
          <w:rPr>
            <w:noProof/>
            <w:webHidden/>
          </w:rPr>
          <w:fldChar w:fldCharType="separate"/>
        </w:r>
        <w:r w:rsidR="00EA3623">
          <w:rPr>
            <w:noProof/>
            <w:webHidden/>
          </w:rPr>
          <w:t>3</w:t>
        </w:r>
        <w:r w:rsidR="00EA3623">
          <w:rPr>
            <w:noProof/>
            <w:webHidden/>
          </w:rPr>
          <w:fldChar w:fldCharType="end"/>
        </w:r>
      </w:hyperlink>
    </w:p>
    <w:p w14:paraId="235FA771" w14:textId="61EC430C" w:rsidR="00EA3623" w:rsidRDefault="00657B21">
      <w:pPr>
        <w:pStyle w:val="TM1"/>
        <w:tabs>
          <w:tab w:val="left" w:pos="44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49" w:history="1">
        <w:r w:rsidR="00EA3623" w:rsidRPr="0044282E">
          <w:rPr>
            <w:rStyle w:val="Lienhypertexte"/>
            <w:noProof/>
          </w:rPr>
          <w:t>I.</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noProof/>
          </w:rPr>
          <w:t>Contexte scientifique</w:t>
        </w:r>
        <w:r w:rsidR="00EA3623">
          <w:rPr>
            <w:noProof/>
            <w:webHidden/>
          </w:rPr>
          <w:tab/>
        </w:r>
        <w:r w:rsidR="00EA3623">
          <w:rPr>
            <w:noProof/>
            <w:webHidden/>
          </w:rPr>
          <w:fldChar w:fldCharType="begin"/>
        </w:r>
        <w:r w:rsidR="00EA3623">
          <w:rPr>
            <w:noProof/>
            <w:webHidden/>
          </w:rPr>
          <w:instrText xml:space="preserve"> PAGEREF _Toc73027849 \h </w:instrText>
        </w:r>
        <w:r w:rsidR="00EA3623">
          <w:rPr>
            <w:noProof/>
            <w:webHidden/>
          </w:rPr>
        </w:r>
        <w:r w:rsidR="00EA3623">
          <w:rPr>
            <w:noProof/>
            <w:webHidden/>
          </w:rPr>
          <w:fldChar w:fldCharType="separate"/>
        </w:r>
        <w:r w:rsidR="00EA3623">
          <w:rPr>
            <w:noProof/>
            <w:webHidden/>
          </w:rPr>
          <w:t>4</w:t>
        </w:r>
        <w:r w:rsidR="00EA3623">
          <w:rPr>
            <w:noProof/>
            <w:webHidden/>
          </w:rPr>
          <w:fldChar w:fldCharType="end"/>
        </w:r>
      </w:hyperlink>
    </w:p>
    <w:p w14:paraId="27A7656E" w14:textId="4846B03D" w:rsidR="00EA3623" w:rsidRDefault="00657B21">
      <w:pPr>
        <w:pStyle w:val="TM1"/>
        <w:tabs>
          <w:tab w:val="left" w:pos="44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50" w:history="1">
        <w:r w:rsidR="00EA3623" w:rsidRPr="0044282E">
          <w:rPr>
            <w:rStyle w:val="Lienhypertexte"/>
            <w:noProof/>
          </w:rPr>
          <w:t>II.</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noProof/>
          </w:rPr>
          <w:t>Acteurs du projet</w:t>
        </w:r>
        <w:r w:rsidR="00EA3623">
          <w:rPr>
            <w:noProof/>
            <w:webHidden/>
          </w:rPr>
          <w:tab/>
        </w:r>
        <w:r w:rsidR="00EA3623">
          <w:rPr>
            <w:noProof/>
            <w:webHidden/>
          </w:rPr>
          <w:fldChar w:fldCharType="begin"/>
        </w:r>
        <w:r w:rsidR="00EA3623">
          <w:rPr>
            <w:noProof/>
            <w:webHidden/>
          </w:rPr>
          <w:instrText xml:space="preserve"> PAGEREF _Toc73027850 \h </w:instrText>
        </w:r>
        <w:r w:rsidR="00EA3623">
          <w:rPr>
            <w:noProof/>
            <w:webHidden/>
          </w:rPr>
        </w:r>
        <w:r w:rsidR="00EA3623">
          <w:rPr>
            <w:noProof/>
            <w:webHidden/>
          </w:rPr>
          <w:fldChar w:fldCharType="separate"/>
        </w:r>
        <w:r w:rsidR="00EA3623">
          <w:rPr>
            <w:noProof/>
            <w:webHidden/>
          </w:rPr>
          <w:t>7</w:t>
        </w:r>
        <w:r w:rsidR="00EA3623">
          <w:rPr>
            <w:noProof/>
            <w:webHidden/>
          </w:rPr>
          <w:fldChar w:fldCharType="end"/>
        </w:r>
      </w:hyperlink>
    </w:p>
    <w:p w14:paraId="5BEAFC75" w14:textId="1A7BC29B" w:rsidR="00EA3623" w:rsidRDefault="00657B21">
      <w:pPr>
        <w:pStyle w:val="TM2"/>
        <w:tabs>
          <w:tab w:val="left" w:pos="660"/>
          <w:tab w:val="right" w:leader="dot" w:pos="10194"/>
        </w:tabs>
        <w:rPr>
          <w:rFonts w:asciiTheme="minorHAnsi" w:eastAsiaTheme="minorEastAsia" w:hAnsiTheme="minorHAnsi" w:cstheme="minorBidi"/>
          <w:b w:val="0"/>
          <w:bCs w:val="0"/>
          <w:noProof/>
          <w:lang w:eastAsia="fr-FR" w:bidi="ar-SA"/>
        </w:rPr>
      </w:pPr>
      <w:hyperlink w:anchor="_Toc73027851" w:history="1">
        <w:r w:rsidR="00EA3623" w:rsidRPr="0044282E">
          <w:rPr>
            <w:rStyle w:val="Lienhypertexte"/>
            <w:noProof/>
          </w:rPr>
          <w:t>A.</w:t>
        </w:r>
        <w:r w:rsidR="00EA3623">
          <w:rPr>
            <w:rFonts w:asciiTheme="minorHAnsi" w:eastAsiaTheme="minorEastAsia" w:hAnsiTheme="minorHAnsi" w:cstheme="minorBidi"/>
            <w:b w:val="0"/>
            <w:bCs w:val="0"/>
            <w:noProof/>
            <w:lang w:eastAsia="fr-FR" w:bidi="ar-SA"/>
          </w:rPr>
          <w:tab/>
        </w:r>
        <w:r w:rsidR="00EA3623" w:rsidRPr="0044282E">
          <w:rPr>
            <w:rStyle w:val="Lienhypertexte"/>
            <w:noProof/>
          </w:rPr>
          <w:t>ANSES : Laboratoire de sécurité des aliments site de Boulogne sur Mer, unité B3PA</w:t>
        </w:r>
        <w:r w:rsidR="00EA3623">
          <w:rPr>
            <w:noProof/>
            <w:webHidden/>
          </w:rPr>
          <w:tab/>
        </w:r>
        <w:r w:rsidR="00EA3623">
          <w:rPr>
            <w:noProof/>
            <w:webHidden/>
          </w:rPr>
          <w:fldChar w:fldCharType="begin"/>
        </w:r>
        <w:r w:rsidR="00EA3623">
          <w:rPr>
            <w:noProof/>
            <w:webHidden/>
          </w:rPr>
          <w:instrText xml:space="preserve"> PAGEREF _Toc73027851 \h </w:instrText>
        </w:r>
        <w:r w:rsidR="00EA3623">
          <w:rPr>
            <w:noProof/>
            <w:webHidden/>
          </w:rPr>
        </w:r>
        <w:r w:rsidR="00EA3623">
          <w:rPr>
            <w:noProof/>
            <w:webHidden/>
          </w:rPr>
          <w:fldChar w:fldCharType="separate"/>
        </w:r>
        <w:r w:rsidR="00EA3623">
          <w:rPr>
            <w:noProof/>
            <w:webHidden/>
          </w:rPr>
          <w:t>7</w:t>
        </w:r>
        <w:r w:rsidR="00EA3623">
          <w:rPr>
            <w:noProof/>
            <w:webHidden/>
          </w:rPr>
          <w:fldChar w:fldCharType="end"/>
        </w:r>
      </w:hyperlink>
    </w:p>
    <w:p w14:paraId="60E409FD" w14:textId="474D2ED5" w:rsidR="00EA3623" w:rsidRDefault="00657B21">
      <w:pPr>
        <w:pStyle w:val="TM2"/>
        <w:tabs>
          <w:tab w:val="left" w:pos="660"/>
          <w:tab w:val="right" w:leader="dot" w:pos="10194"/>
        </w:tabs>
        <w:rPr>
          <w:rFonts w:asciiTheme="minorHAnsi" w:eastAsiaTheme="minorEastAsia" w:hAnsiTheme="minorHAnsi" w:cstheme="minorBidi"/>
          <w:b w:val="0"/>
          <w:bCs w:val="0"/>
          <w:noProof/>
          <w:lang w:eastAsia="fr-FR" w:bidi="ar-SA"/>
        </w:rPr>
      </w:pPr>
      <w:hyperlink w:anchor="_Toc73027852" w:history="1">
        <w:r w:rsidR="00EA3623" w:rsidRPr="0044282E">
          <w:rPr>
            <w:rStyle w:val="Lienhypertexte"/>
            <w:noProof/>
          </w:rPr>
          <w:t>B.</w:t>
        </w:r>
        <w:r w:rsidR="00EA3623">
          <w:rPr>
            <w:rFonts w:asciiTheme="minorHAnsi" w:eastAsiaTheme="minorEastAsia" w:hAnsiTheme="minorHAnsi" w:cstheme="minorBidi"/>
            <w:b w:val="0"/>
            <w:bCs w:val="0"/>
            <w:noProof/>
            <w:lang w:eastAsia="fr-FR" w:bidi="ar-SA"/>
          </w:rPr>
          <w:tab/>
        </w:r>
        <w:r w:rsidR="00EA3623" w:rsidRPr="0044282E">
          <w:rPr>
            <w:rStyle w:val="Lienhypertexte"/>
            <w:noProof/>
          </w:rPr>
          <w:t>ANSES : Laboratoire de sécurité des aliments site de Maisons-Alfort, unité SEL</w:t>
        </w:r>
        <w:r w:rsidR="00EA3623">
          <w:rPr>
            <w:noProof/>
            <w:webHidden/>
          </w:rPr>
          <w:tab/>
        </w:r>
        <w:r w:rsidR="00EA3623">
          <w:rPr>
            <w:noProof/>
            <w:webHidden/>
          </w:rPr>
          <w:fldChar w:fldCharType="begin"/>
        </w:r>
        <w:r w:rsidR="00EA3623">
          <w:rPr>
            <w:noProof/>
            <w:webHidden/>
          </w:rPr>
          <w:instrText xml:space="preserve"> PAGEREF _Toc73027852 \h </w:instrText>
        </w:r>
        <w:r w:rsidR="00EA3623">
          <w:rPr>
            <w:noProof/>
            <w:webHidden/>
          </w:rPr>
        </w:r>
        <w:r w:rsidR="00EA3623">
          <w:rPr>
            <w:noProof/>
            <w:webHidden/>
          </w:rPr>
          <w:fldChar w:fldCharType="separate"/>
        </w:r>
        <w:r w:rsidR="00EA3623">
          <w:rPr>
            <w:noProof/>
            <w:webHidden/>
          </w:rPr>
          <w:t>7</w:t>
        </w:r>
        <w:r w:rsidR="00EA3623">
          <w:rPr>
            <w:noProof/>
            <w:webHidden/>
          </w:rPr>
          <w:fldChar w:fldCharType="end"/>
        </w:r>
      </w:hyperlink>
    </w:p>
    <w:p w14:paraId="276027EC" w14:textId="34E9A7B6" w:rsidR="00EA3623" w:rsidRDefault="00657B21">
      <w:pPr>
        <w:pStyle w:val="TM2"/>
        <w:tabs>
          <w:tab w:val="left" w:pos="660"/>
          <w:tab w:val="right" w:leader="dot" w:pos="10194"/>
        </w:tabs>
        <w:rPr>
          <w:rFonts w:asciiTheme="minorHAnsi" w:eastAsiaTheme="minorEastAsia" w:hAnsiTheme="minorHAnsi" w:cstheme="minorBidi"/>
          <w:b w:val="0"/>
          <w:bCs w:val="0"/>
          <w:noProof/>
          <w:lang w:eastAsia="fr-FR" w:bidi="ar-SA"/>
        </w:rPr>
      </w:pPr>
      <w:hyperlink w:anchor="_Toc73027853" w:history="1">
        <w:r w:rsidR="00EA3623" w:rsidRPr="0044282E">
          <w:rPr>
            <w:rStyle w:val="Lienhypertexte"/>
            <w:noProof/>
          </w:rPr>
          <w:t>C.</w:t>
        </w:r>
        <w:r w:rsidR="00EA3623">
          <w:rPr>
            <w:rFonts w:asciiTheme="minorHAnsi" w:eastAsiaTheme="minorEastAsia" w:hAnsiTheme="minorHAnsi" w:cstheme="minorBidi"/>
            <w:b w:val="0"/>
            <w:bCs w:val="0"/>
            <w:noProof/>
            <w:lang w:eastAsia="fr-FR" w:bidi="ar-SA"/>
          </w:rPr>
          <w:tab/>
        </w:r>
        <w:r w:rsidR="00EA3623" w:rsidRPr="0044282E">
          <w:rPr>
            <w:rStyle w:val="Lienhypertexte"/>
            <w:noProof/>
          </w:rPr>
          <w:t>Collaborations scientifiques avec l’ADRIA de Quimper, ACTALIA Saint Lô et l’IFIP lors de la mise au point sur des projets précédents et pour les essais inter-laboratoires</w:t>
        </w:r>
        <w:r w:rsidR="00EA3623">
          <w:rPr>
            <w:noProof/>
            <w:webHidden/>
          </w:rPr>
          <w:tab/>
        </w:r>
        <w:r w:rsidR="00EA3623">
          <w:rPr>
            <w:noProof/>
            <w:webHidden/>
          </w:rPr>
          <w:fldChar w:fldCharType="begin"/>
        </w:r>
        <w:r w:rsidR="00EA3623">
          <w:rPr>
            <w:noProof/>
            <w:webHidden/>
          </w:rPr>
          <w:instrText xml:space="preserve"> PAGEREF _Toc73027853 \h </w:instrText>
        </w:r>
        <w:r w:rsidR="00EA3623">
          <w:rPr>
            <w:noProof/>
            <w:webHidden/>
          </w:rPr>
        </w:r>
        <w:r w:rsidR="00EA3623">
          <w:rPr>
            <w:noProof/>
            <w:webHidden/>
          </w:rPr>
          <w:fldChar w:fldCharType="separate"/>
        </w:r>
        <w:r w:rsidR="00EA3623">
          <w:rPr>
            <w:noProof/>
            <w:webHidden/>
          </w:rPr>
          <w:t>8</w:t>
        </w:r>
        <w:r w:rsidR="00EA3623">
          <w:rPr>
            <w:noProof/>
            <w:webHidden/>
          </w:rPr>
          <w:fldChar w:fldCharType="end"/>
        </w:r>
      </w:hyperlink>
    </w:p>
    <w:p w14:paraId="2EE849A0" w14:textId="2D6EC2FB" w:rsidR="00EA3623" w:rsidRDefault="00657B21">
      <w:pPr>
        <w:pStyle w:val="TM1"/>
        <w:tabs>
          <w:tab w:val="left" w:pos="66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54" w:history="1">
        <w:r w:rsidR="00EA3623" w:rsidRPr="0044282E">
          <w:rPr>
            <w:rStyle w:val="Lienhypertexte"/>
            <w:noProof/>
          </w:rPr>
          <w:t>III.</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noProof/>
          </w:rPr>
          <w:t>Objectifs du programme</w:t>
        </w:r>
        <w:r w:rsidR="00EA3623">
          <w:rPr>
            <w:noProof/>
            <w:webHidden/>
          </w:rPr>
          <w:tab/>
        </w:r>
        <w:r w:rsidR="00EA3623">
          <w:rPr>
            <w:noProof/>
            <w:webHidden/>
          </w:rPr>
          <w:fldChar w:fldCharType="begin"/>
        </w:r>
        <w:r w:rsidR="00EA3623">
          <w:rPr>
            <w:noProof/>
            <w:webHidden/>
          </w:rPr>
          <w:instrText xml:space="preserve"> PAGEREF _Toc73027854 \h </w:instrText>
        </w:r>
        <w:r w:rsidR="00EA3623">
          <w:rPr>
            <w:noProof/>
            <w:webHidden/>
          </w:rPr>
        </w:r>
        <w:r w:rsidR="00EA3623">
          <w:rPr>
            <w:noProof/>
            <w:webHidden/>
          </w:rPr>
          <w:fldChar w:fldCharType="separate"/>
        </w:r>
        <w:r w:rsidR="00EA3623">
          <w:rPr>
            <w:noProof/>
            <w:webHidden/>
          </w:rPr>
          <w:t>8</w:t>
        </w:r>
        <w:r w:rsidR="00EA3623">
          <w:rPr>
            <w:noProof/>
            <w:webHidden/>
          </w:rPr>
          <w:fldChar w:fldCharType="end"/>
        </w:r>
      </w:hyperlink>
    </w:p>
    <w:p w14:paraId="205D3E24" w14:textId="3602BE14" w:rsidR="00EA3623" w:rsidRDefault="00657B21">
      <w:pPr>
        <w:pStyle w:val="TM1"/>
        <w:tabs>
          <w:tab w:val="left" w:pos="66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55" w:history="1">
        <w:r w:rsidR="00EA3623" w:rsidRPr="0044282E">
          <w:rPr>
            <w:rStyle w:val="Lienhypertexte"/>
            <w:noProof/>
          </w:rPr>
          <w:t>IV.</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noProof/>
          </w:rPr>
          <w:t>Programme d’actions</w:t>
        </w:r>
        <w:r w:rsidR="00EA3623">
          <w:rPr>
            <w:noProof/>
            <w:webHidden/>
          </w:rPr>
          <w:tab/>
        </w:r>
        <w:r w:rsidR="00EA3623">
          <w:rPr>
            <w:noProof/>
            <w:webHidden/>
          </w:rPr>
          <w:fldChar w:fldCharType="begin"/>
        </w:r>
        <w:r w:rsidR="00EA3623">
          <w:rPr>
            <w:noProof/>
            <w:webHidden/>
          </w:rPr>
          <w:instrText xml:space="preserve"> PAGEREF _Toc73027855 \h </w:instrText>
        </w:r>
        <w:r w:rsidR="00EA3623">
          <w:rPr>
            <w:noProof/>
            <w:webHidden/>
          </w:rPr>
        </w:r>
        <w:r w:rsidR="00EA3623">
          <w:rPr>
            <w:noProof/>
            <w:webHidden/>
          </w:rPr>
          <w:fldChar w:fldCharType="separate"/>
        </w:r>
        <w:r w:rsidR="00EA3623">
          <w:rPr>
            <w:noProof/>
            <w:webHidden/>
          </w:rPr>
          <w:t>8</w:t>
        </w:r>
        <w:r w:rsidR="00EA3623">
          <w:rPr>
            <w:noProof/>
            <w:webHidden/>
          </w:rPr>
          <w:fldChar w:fldCharType="end"/>
        </w:r>
      </w:hyperlink>
    </w:p>
    <w:p w14:paraId="3425BBB4" w14:textId="6E5EA5FD" w:rsidR="00EA3623" w:rsidRDefault="00657B21">
      <w:pPr>
        <w:pStyle w:val="TM1"/>
        <w:tabs>
          <w:tab w:val="left" w:pos="44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56" w:history="1">
        <w:r w:rsidR="00EA3623" w:rsidRPr="0044282E">
          <w:rPr>
            <w:rStyle w:val="Lienhypertexte"/>
            <w:noProof/>
          </w:rPr>
          <w:t>V.</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noProof/>
          </w:rPr>
          <w:t>Résultats</w:t>
        </w:r>
        <w:r w:rsidR="00EA3623">
          <w:rPr>
            <w:noProof/>
            <w:webHidden/>
          </w:rPr>
          <w:tab/>
        </w:r>
        <w:r w:rsidR="00EA3623">
          <w:rPr>
            <w:noProof/>
            <w:webHidden/>
          </w:rPr>
          <w:fldChar w:fldCharType="begin"/>
        </w:r>
        <w:r w:rsidR="00EA3623">
          <w:rPr>
            <w:noProof/>
            <w:webHidden/>
          </w:rPr>
          <w:instrText xml:space="preserve"> PAGEREF _Toc73027856 \h </w:instrText>
        </w:r>
        <w:r w:rsidR="00EA3623">
          <w:rPr>
            <w:noProof/>
            <w:webHidden/>
          </w:rPr>
        </w:r>
        <w:r w:rsidR="00EA3623">
          <w:rPr>
            <w:noProof/>
            <w:webHidden/>
          </w:rPr>
          <w:fldChar w:fldCharType="separate"/>
        </w:r>
        <w:r w:rsidR="00EA3623">
          <w:rPr>
            <w:noProof/>
            <w:webHidden/>
          </w:rPr>
          <w:t>11</w:t>
        </w:r>
        <w:r w:rsidR="00EA3623">
          <w:rPr>
            <w:noProof/>
            <w:webHidden/>
          </w:rPr>
          <w:fldChar w:fldCharType="end"/>
        </w:r>
      </w:hyperlink>
    </w:p>
    <w:p w14:paraId="269EACF4" w14:textId="1CEAD715" w:rsidR="00EA3623" w:rsidRDefault="00657B21">
      <w:pPr>
        <w:pStyle w:val="TM2"/>
        <w:tabs>
          <w:tab w:val="left" w:pos="660"/>
          <w:tab w:val="right" w:leader="dot" w:pos="10194"/>
        </w:tabs>
        <w:rPr>
          <w:rFonts w:asciiTheme="minorHAnsi" w:eastAsiaTheme="minorEastAsia" w:hAnsiTheme="minorHAnsi" w:cstheme="minorBidi"/>
          <w:b w:val="0"/>
          <w:bCs w:val="0"/>
          <w:noProof/>
          <w:lang w:eastAsia="fr-FR" w:bidi="ar-SA"/>
        </w:rPr>
      </w:pPr>
      <w:hyperlink w:anchor="_Toc73027857" w:history="1">
        <w:r w:rsidR="00EA3623" w:rsidRPr="0044282E">
          <w:rPr>
            <w:rStyle w:val="Lienhypertexte"/>
            <w:noProof/>
          </w:rPr>
          <w:t>A.</w:t>
        </w:r>
        <w:r w:rsidR="00EA3623">
          <w:rPr>
            <w:rFonts w:asciiTheme="minorHAnsi" w:eastAsiaTheme="minorEastAsia" w:hAnsiTheme="minorHAnsi" w:cstheme="minorBidi"/>
            <w:b w:val="0"/>
            <w:bCs w:val="0"/>
            <w:noProof/>
            <w:lang w:eastAsia="fr-FR" w:bidi="ar-SA"/>
          </w:rPr>
          <w:tab/>
        </w:r>
        <w:r w:rsidR="00EA3623" w:rsidRPr="0044282E">
          <w:rPr>
            <w:rStyle w:val="Lienhypertexte"/>
            <w:noProof/>
          </w:rPr>
          <w:t>Etape 1 : Inventaire de la diversité génétique par CC sur la base des profils PFGE des isolats de L. monocytogenes présents dans la souchothèque du laboratoire de sécurité des aliments site de Boulogne sur Mer</w:t>
        </w:r>
        <w:r w:rsidR="00EA3623">
          <w:rPr>
            <w:noProof/>
            <w:webHidden/>
          </w:rPr>
          <w:tab/>
        </w:r>
        <w:r w:rsidR="00EA3623">
          <w:rPr>
            <w:noProof/>
            <w:webHidden/>
          </w:rPr>
          <w:fldChar w:fldCharType="begin"/>
        </w:r>
        <w:r w:rsidR="00EA3623">
          <w:rPr>
            <w:noProof/>
            <w:webHidden/>
          </w:rPr>
          <w:instrText xml:space="preserve"> PAGEREF _Toc73027857 \h </w:instrText>
        </w:r>
        <w:r w:rsidR="00EA3623">
          <w:rPr>
            <w:noProof/>
            <w:webHidden/>
          </w:rPr>
        </w:r>
        <w:r w:rsidR="00EA3623">
          <w:rPr>
            <w:noProof/>
            <w:webHidden/>
          </w:rPr>
          <w:fldChar w:fldCharType="separate"/>
        </w:r>
        <w:r w:rsidR="00EA3623">
          <w:rPr>
            <w:noProof/>
            <w:webHidden/>
          </w:rPr>
          <w:t>11</w:t>
        </w:r>
        <w:r w:rsidR="00EA3623">
          <w:rPr>
            <w:noProof/>
            <w:webHidden/>
          </w:rPr>
          <w:fldChar w:fldCharType="end"/>
        </w:r>
      </w:hyperlink>
    </w:p>
    <w:p w14:paraId="305DC7D6" w14:textId="14B8E3AB"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58" w:history="1">
        <w:r w:rsidR="00EA3623" w:rsidRPr="0044282E">
          <w:rPr>
            <w:rStyle w:val="Lienhypertexte"/>
            <w:noProof/>
          </w:rPr>
          <w:t>1.</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Contexte scientifique</w:t>
        </w:r>
        <w:r w:rsidR="00EA3623">
          <w:rPr>
            <w:noProof/>
            <w:webHidden/>
          </w:rPr>
          <w:tab/>
        </w:r>
        <w:r w:rsidR="00EA3623">
          <w:rPr>
            <w:noProof/>
            <w:webHidden/>
          </w:rPr>
          <w:fldChar w:fldCharType="begin"/>
        </w:r>
        <w:r w:rsidR="00EA3623">
          <w:rPr>
            <w:noProof/>
            <w:webHidden/>
          </w:rPr>
          <w:instrText xml:space="preserve"> PAGEREF _Toc73027858 \h </w:instrText>
        </w:r>
        <w:r w:rsidR="00EA3623">
          <w:rPr>
            <w:noProof/>
            <w:webHidden/>
          </w:rPr>
        </w:r>
        <w:r w:rsidR="00EA3623">
          <w:rPr>
            <w:noProof/>
            <w:webHidden/>
          </w:rPr>
          <w:fldChar w:fldCharType="separate"/>
        </w:r>
        <w:r w:rsidR="00EA3623">
          <w:rPr>
            <w:noProof/>
            <w:webHidden/>
          </w:rPr>
          <w:t>11</w:t>
        </w:r>
        <w:r w:rsidR="00EA3623">
          <w:rPr>
            <w:noProof/>
            <w:webHidden/>
          </w:rPr>
          <w:fldChar w:fldCharType="end"/>
        </w:r>
      </w:hyperlink>
    </w:p>
    <w:p w14:paraId="18C82341" w14:textId="77F0AF87"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59" w:history="1">
        <w:r w:rsidR="00EA3623" w:rsidRPr="0044282E">
          <w:rPr>
            <w:rStyle w:val="Lienhypertexte"/>
            <w:noProof/>
          </w:rPr>
          <w:t>2.</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Matériel et méthodes</w:t>
        </w:r>
        <w:r w:rsidR="00EA3623">
          <w:rPr>
            <w:noProof/>
            <w:webHidden/>
          </w:rPr>
          <w:tab/>
        </w:r>
        <w:r w:rsidR="00EA3623">
          <w:rPr>
            <w:noProof/>
            <w:webHidden/>
          </w:rPr>
          <w:fldChar w:fldCharType="begin"/>
        </w:r>
        <w:r w:rsidR="00EA3623">
          <w:rPr>
            <w:noProof/>
            <w:webHidden/>
          </w:rPr>
          <w:instrText xml:space="preserve"> PAGEREF _Toc73027859 \h </w:instrText>
        </w:r>
        <w:r w:rsidR="00EA3623">
          <w:rPr>
            <w:noProof/>
            <w:webHidden/>
          </w:rPr>
        </w:r>
        <w:r w:rsidR="00EA3623">
          <w:rPr>
            <w:noProof/>
            <w:webHidden/>
          </w:rPr>
          <w:fldChar w:fldCharType="separate"/>
        </w:r>
        <w:r w:rsidR="00EA3623">
          <w:rPr>
            <w:noProof/>
            <w:webHidden/>
          </w:rPr>
          <w:t>11</w:t>
        </w:r>
        <w:r w:rsidR="00EA3623">
          <w:rPr>
            <w:noProof/>
            <w:webHidden/>
          </w:rPr>
          <w:fldChar w:fldCharType="end"/>
        </w:r>
      </w:hyperlink>
    </w:p>
    <w:p w14:paraId="50FD252B" w14:textId="5D70002B"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60" w:history="1">
        <w:r w:rsidR="00EA3623" w:rsidRPr="0044282E">
          <w:rPr>
            <w:rStyle w:val="Lienhypertexte"/>
            <w:noProof/>
          </w:rPr>
          <w:t>3.</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Résultats et discussion</w:t>
        </w:r>
        <w:r w:rsidR="00EA3623">
          <w:rPr>
            <w:noProof/>
            <w:webHidden/>
          </w:rPr>
          <w:tab/>
        </w:r>
        <w:r w:rsidR="00EA3623">
          <w:rPr>
            <w:noProof/>
            <w:webHidden/>
          </w:rPr>
          <w:fldChar w:fldCharType="begin"/>
        </w:r>
        <w:r w:rsidR="00EA3623">
          <w:rPr>
            <w:noProof/>
            <w:webHidden/>
          </w:rPr>
          <w:instrText xml:space="preserve"> PAGEREF _Toc73027860 \h </w:instrText>
        </w:r>
        <w:r w:rsidR="00EA3623">
          <w:rPr>
            <w:noProof/>
            <w:webHidden/>
          </w:rPr>
        </w:r>
        <w:r w:rsidR="00EA3623">
          <w:rPr>
            <w:noProof/>
            <w:webHidden/>
          </w:rPr>
          <w:fldChar w:fldCharType="separate"/>
        </w:r>
        <w:r w:rsidR="00EA3623">
          <w:rPr>
            <w:noProof/>
            <w:webHidden/>
          </w:rPr>
          <w:t>13</w:t>
        </w:r>
        <w:r w:rsidR="00EA3623">
          <w:rPr>
            <w:noProof/>
            <w:webHidden/>
          </w:rPr>
          <w:fldChar w:fldCharType="end"/>
        </w:r>
      </w:hyperlink>
    </w:p>
    <w:p w14:paraId="1A87B113" w14:textId="356A8D29" w:rsidR="00EA3623" w:rsidRDefault="00657B21">
      <w:pPr>
        <w:pStyle w:val="TM2"/>
        <w:tabs>
          <w:tab w:val="left" w:pos="660"/>
          <w:tab w:val="right" w:leader="dot" w:pos="10194"/>
        </w:tabs>
        <w:rPr>
          <w:rFonts w:asciiTheme="minorHAnsi" w:eastAsiaTheme="minorEastAsia" w:hAnsiTheme="minorHAnsi" w:cstheme="minorBidi"/>
          <w:b w:val="0"/>
          <w:bCs w:val="0"/>
          <w:noProof/>
          <w:lang w:eastAsia="fr-FR" w:bidi="ar-SA"/>
        </w:rPr>
      </w:pPr>
      <w:hyperlink w:anchor="_Toc73027861" w:history="1">
        <w:r w:rsidR="00EA3623" w:rsidRPr="0044282E">
          <w:rPr>
            <w:rStyle w:val="Lienhypertexte"/>
            <w:noProof/>
          </w:rPr>
          <w:t>B.</w:t>
        </w:r>
        <w:r w:rsidR="00EA3623">
          <w:rPr>
            <w:rFonts w:asciiTheme="minorHAnsi" w:eastAsiaTheme="minorEastAsia" w:hAnsiTheme="minorHAnsi" w:cstheme="minorBidi"/>
            <w:b w:val="0"/>
            <w:bCs w:val="0"/>
            <w:noProof/>
            <w:lang w:eastAsia="fr-FR" w:bidi="ar-SA"/>
          </w:rPr>
          <w:tab/>
        </w:r>
        <w:r w:rsidR="00EA3623" w:rsidRPr="0044282E">
          <w:rPr>
            <w:rStyle w:val="Lienhypertexte"/>
            <w:noProof/>
          </w:rPr>
          <w:t>Etape 2: Développement/ optimisation d’un outil performant de PCR en temps réel pour l’identification de 29 complexes clonaux de L. monocytogenes</w:t>
        </w:r>
        <w:r w:rsidR="00EA3623">
          <w:rPr>
            <w:noProof/>
            <w:webHidden/>
          </w:rPr>
          <w:tab/>
        </w:r>
        <w:r w:rsidR="00EA3623">
          <w:rPr>
            <w:noProof/>
            <w:webHidden/>
          </w:rPr>
          <w:fldChar w:fldCharType="begin"/>
        </w:r>
        <w:r w:rsidR="00EA3623">
          <w:rPr>
            <w:noProof/>
            <w:webHidden/>
          </w:rPr>
          <w:instrText xml:space="preserve"> PAGEREF _Toc73027861 \h </w:instrText>
        </w:r>
        <w:r w:rsidR="00EA3623">
          <w:rPr>
            <w:noProof/>
            <w:webHidden/>
          </w:rPr>
        </w:r>
        <w:r w:rsidR="00EA3623">
          <w:rPr>
            <w:noProof/>
            <w:webHidden/>
          </w:rPr>
          <w:fldChar w:fldCharType="separate"/>
        </w:r>
        <w:r w:rsidR="00EA3623">
          <w:rPr>
            <w:noProof/>
            <w:webHidden/>
          </w:rPr>
          <w:t>21</w:t>
        </w:r>
        <w:r w:rsidR="00EA3623">
          <w:rPr>
            <w:noProof/>
            <w:webHidden/>
          </w:rPr>
          <w:fldChar w:fldCharType="end"/>
        </w:r>
      </w:hyperlink>
    </w:p>
    <w:p w14:paraId="62A0E032" w14:textId="1D2D14B9"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62" w:history="1">
        <w:r w:rsidR="00EA3623" w:rsidRPr="0044282E">
          <w:rPr>
            <w:rStyle w:val="Lienhypertexte"/>
            <w:noProof/>
          </w:rPr>
          <w:t>1.</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Contexte de l’étape</w:t>
        </w:r>
        <w:r w:rsidR="00EA3623">
          <w:rPr>
            <w:noProof/>
            <w:webHidden/>
          </w:rPr>
          <w:tab/>
        </w:r>
        <w:r w:rsidR="00EA3623">
          <w:rPr>
            <w:noProof/>
            <w:webHidden/>
          </w:rPr>
          <w:fldChar w:fldCharType="begin"/>
        </w:r>
        <w:r w:rsidR="00EA3623">
          <w:rPr>
            <w:noProof/>
            <w:webHidden/>
          </w:rPr>
          <w:instrText xml:space="preserve"> PAGEREF _Toc73027862 \h </w:instrText>
        </w:r>
        <w:r w:rsidR="00EA3623">
          <w:rPr>
            <w:noProof/>
            <w:webHidden/>
          </w:rPr>
        </w:r>
        <w:r w:rsidR="00EA3623">
          <w:rPr>
            <w:noProof/>
            <w:webHidden/>
          </w:rPr>
          <w:fldChar w:fldCharType="separate"/>
        </w:r>
        <w:r w:rsidR="00EA3623">
          <w:rPr>
            <w:noProof/>
            <w:webHidden/>
          </w:rPr>
          <w:t>21</w:t>
        </w:r>
        <w:r w:rsidR="00EA3623">
          <w:rPr>
            <w:noProof/>
            <w:webHidden/>
          </w:rPr>
          <w:fldChar w:fldCharType="end"/>
        </w:r>
      </w:hyperlink>
    </w:p>
    <w:p w14:paraId="50C5C424" w14:textId="7176B1C4"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63" w:history="1">
        <w:r w:rsidR="00EA3623" w:rsidRPr="0044282E">
          <w:rPr>
            <w:rStyle w:val="Lienhypertexte"/>
            <w:noProof/>
          </w:rPr>
          <w:t>2.</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Matériel et méthodes</w:t>
        </w:r>
        <w:r w:rsidR="00EA3623">
          <w:rPr>
            <w:noProof/>
            <w:webHidden/>
          </w:rPr>
          <w:tab/>
        </w:r>
        <w:r w:rsidR="00EA3623">
          <w:rPr>
            <w:noProof/>
            <w:webHidden/>
          </w:rPr>
          <w:fldChar w:fldCharType="begin"/>
        </w:r>
        <w:r w:rsidR="00EA3623">
          <w:rPr>
            <w:noProof/>
            <w:webHidden/>
          </w:rPr>
          <w:instrText xml:space="preserve"> PAGEREF _Toc73027863 \h </w:instrText>
        </w:r>
        <w:r w:rsidR="00EA3623">
          <w:rPr>
            <w:noProof/>
            <w:webHidden/>
          </w:rPr>
        </w:r>
        <w:r w:rsidR="00EA3623">
          <w:rPr>
            <w:noProof/>
            <w:webHidden/>
          </w:rPr>
          <w:fldChar w:fldCharType="separate"/>
        </w:r>
        <w:r w:rsidR="00EA3623">
          <w:rPr>
            <w:noProof/>
            <w:webHidden/>
          </w:rPr>
          <w:t>21</w:t>
        </w:r>
        <w:r w:rsidR="00EA3623">
          <w:rPr>
            <w:noProof/>
            <w:webHidden/>
          </w:rPr>
          <w:fldChar w:fldCharType="end"/>
        </w:r>
      </w:hyperlink>
    </w:p>
    <w:p w14:paraId="4E027B15" w14:textId="1C29F1FA"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64" w:history="1">
        <w:r w:rsidR="00EA3623" w:rsidRPr="0044282E">
          <w:rPr>
            <w:rStyle w:val="Lienhypertexte"/>
            <w:noProof/>
          </w:rPr>
          <w:t>3.</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Résultats</w:t>
        </w:r>
        <w:r w:rsidR="00EA3623">
          <w:rPr>
            <w:noProof/>
            <w:webHidden/>
          </w:rPr>
          <w:tab/>
        </w:r>
        <w:r w:rsidR="00EA3623">
          <w:rPr>
            <w:noProof/>
            <w:webHidden/>
          </w:rPr>
          <w:fldChar w:fldCharType="begin"/>
        </w:r>
        <w:r w:rsidR="00EA3623">
          <w:rPr>
            <w:noProof/>
            <w:webHidden/>
          </w:rPr>
          <w:instrText xml:space="preserve"> PAGEREF _Toc73027864 \h </w:instrText>
        </w:r>
        <w:r w:rsidR="00EA3623">
          <w:rPr>
            <w:noProof/>
            <w:webHidden/>
          </w:rPr>
        </w:r>
        <w:r w:rsidR="00EA3623">
          <w:rPr>
            <w:noProof/>
            <w:webHidden/>
          </w:rPr>
          <w:fldChar w:fldCharType="separate"/>
        </w:r>
        <w:r w:rsidR="00EA3623">
          <w:rPr>
            <w:noProof/>
            <w:webHidden/>
          </w:rPr>
          <w:t>28</w:t>
        </w:r>
        <w:r w:rsidR="00EA3623">
          <w:rPr>
            <w:noProof/>
            <w:webHidden/>
          </w:rPr>
          <w:fldChar w:fldCharType="end"/>
        </w:r>
      </w:hyperlink>
    </w:p>
    <w:p w14:paraId="5038C4F2" w14:textId="04F5F56D" w:rsidR="00EA3623" w:rsidRDefault="00657B21">
      <w:pPr>
        <w:pStyle w:val="TM1"/>
        <w:tabs>
          <w:tab w:val="left" w:pos="66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65" w:history="1">
        <w:r w:rsidR="00EA3623" w:rsidRPr="0044282E">
          <w:rPr>
            <w:rStyle w:val="Lienhypertexte"/>
            <w:noProof/>
          </w:rPr>
          <w:t>VI.</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noProof/>
          </w:rPr>
          <w:t>Conclusion – Perspectives</w:t>
        </w:r>
        <w:r w:rsidR="00EA3623">
          <w:rPr>
            <w:noProof/>
            <w:webHidden/>
          </w:rPr>
          <w:tab/>
        </w:r>
        <w:r w:rsidR="00EA3623">
          <w:rPr>
            <w:noProof/>
            <w:webHidden/>
          </w:rPr>
          <w:fldChar w:fldCharType="begin"/>
        </w:r>
        <w:r w:rsidR="00EA3623">
          <w:rPr>
            <w:noProof/>
            <w:webHidden/>
          </w:rPr>
          <w:instrText xml:space="preserve"> PAGEREF _Toc73027865 \h </w:instrText>
        </w:r>
        <w:r w:rsidR="00EA3623">
          <w:rPr>
            <w:noProof/>
            <w:webHidden/>
          </w:rPr>
        </w:r>
        <w:r w:rsidR="00EA3623">
          <w:rPr>
            <w:noProof/>
            <w:webHidden/>
          </w:rPr>
          <w:fldChar w:fldCharType="separate"/>
        </w:r>
        <w:r w:rsidR="00EA3623">
          <w:rPr>
            <w:noProof/>
            <w:webHidden/>
          </w:rPr>
          <w:t>35</w:t>
        </w:r>
        <w:r w:rsidR="00EA3623">
          <w:rPr>
            <w:noProof/>
            <w:webHidden/>
          </w:rPr>
          <w:fldChar w:fldCharType="end"/>
        </w:r>
      </w:hyperlink>
    </w:p>
    <w:p w14:paraId="2CE85C78" w14:textId="673AC481" w:rsidR="00EA3623" w:rsidRDefault="00657B21">
      <w:pPr>
        <w:pStyle w:val="TM1"/>
        <w:tabs>
          <w:tab w:val="left" w:pos="66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66" w:history="1">
        <w:r w:rsidR="00EA3623" w:rsidRPr="0044282E">
          <w:rPr>
            <w:rStyle w:val="Lienhypertexte"/>
            <w:noProof/>
          </w:rPr>
          <w:t>VII.</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noProof/>
          </w:rPr>
          <w:t>Valorisation</w:t>
        </w:r>
        <w:r w:rsidR="00EA3623">
          <w:rPr>
            <w:noProof/>
            <w:webHidden/>
          </w:rPr>
          <w:tab/>
        </w:r>
        <w:r w:rsidR="00EA3623">
          <w:rPr>
            <w:noProof/>
            <w:webHidden/>
          </w:rPr>
          <w:fldChar w:fldCharType="begin"/>
        </w:r>
        <w:r w:rsidR="00EA3623">
          <w:rPr>
            <w:noProof/>
            <w:webHidden/>
          </w:rPr>
          <w:instrText xml:space="preserve"> PAGEREF _Toc73027866 \h </w:instrText>
        </w:r>
        <w:r w:rsidR="00EA3623">
          <w:rPr>
            <w:noProof/>
            <w:webHidden/>
          </w:rPr>
        </w:r>
        <w:r w:rsidR="00EA3623">
          <w:rPr>
            <w:noProof/>
            <w:webHidden/>
          </w:rPr>
          <w:fldChar w:fldCharType="separate"/>
        </w:r>
        <w:r w:rsidR="00EA3623">
          <w:rPr>
            <w:noProof/>
            <w:webHidden/>
          </w:rPr>
          <w:t>36</w:t>
        </w:r>
        <w:r w:rsidR="00EA3623">
          <w:rPr>
            <w:noProof/>
            <w:webHidden/>
          </w:rPr>
          <w:fldChar w:fldCharType="end"/>
        </w:r>
      </w:hyperlink>
    </w:p>
    <w:p w14:paraId="6930384A" w14:textId="73FD92BE" w:rsidR="00EA3623" w:rsidRDefault="00657B21">
      <w:pPr>
        <w:pStyle w:val="TM1"/>
        <w:tabs>
          <w:tab w:val="left" w:pos="66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67" w:history="1">
        <w:r w:rsidR="00EA3623" w:rsidRPr="0044282E">
          <w:rPr>
            <w:rStyle w:val="Lienhypertexte"/>
            <w:noProof/>
          </w:rPr>
          <w:t>VIII.</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noProof/>
          </w:rPr>
          <w:t>Annexes</w:t>
        </w:r>
        <w:r w:rsidR="00EA3623">
          <w:rPr>
            <w:noProof/>
            <w:webHidden/>
          </w:rPr>
          <w:tab/>
        </w:r>
        <w:r w:rsidR="00EA3623">
          <w:rPr>
            <w:noProof/>
            <w:webHidden/>
          </w:rPr>
          <w:fldChar w:fldCharType="begin"/>
        </w:r>
        <w:r w:rsidR="00EA3623">
          <w:rPr>
            <w:noProof/>
            <w:webHidden/>
          </w:rPr>
          <w:instrText xml:space="preserve"> PAGEREF _Toc73027867 \h </w:instrText>
        </w:r>
        <w:r w:rsidR="00EA3623">
          <w:rPr>
            <w:noProof/>
            <w:webHidden/>
          </w:rPr>
        </w:r>
        <w:r w:rsidR="00EA3623">
          <w:rPr>
            <w:noProof/>
            <w:webHidden/>
          </w:rPr>
          <w:fldChar w:fldCharType="separate"/>
        </w:r>
        <w:r w:rsidR="00EA3623">
          <w:rPr>
            <w:noProof/>
            <w:webHidden/>
          </w:rPr>
          <w:t>37</w:t>
        </w:r>
        <w:r w:rsidR="00EA3623">
          <w:rPr>
            <w:noProof/>
            <w:webHidden/>
          </w:rPr>
          <w:fldChar w:fldCharType="end"/>
        </w:r>
      </w:hyperlink>
    </w:p>
    <w:p w14:paraId="79EC60C5" w14:textId="5240634A"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68" w:history="1">
        <w:r w:rsidR="00EA3623" w:rsidRPr="0044282E">
          <w:rPr>
            <w:rStyle w:val="Lienhypertexte"/>
            <w:noProof/>
          </w:rPr>
          <w:t>1.</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Panel de souches déjà typées par PFGE fourni par l’ADRIA de Quimper</w:t>
        </w:r>
        <w:r w:rsidR="00EA3623">
          <w:rPr>
            <w:noProof/>
            <w:webHidden/>
          </w:rPr>
          <w:tab/>
        </w:r>
        <w:r w:rsidR="00EA3623">
          <w:rPr>
            <w:noProof/>
            <w:webHidden/>
          </w:rPr>
          <w:fldChar w:fldCharType="begin"/>
        </w:r>
        <w:r w:rsidR="00EA3623">
          <w:rPr>
            <w:noProof/>
            <w:webHidden/>
          </w:rPr>
          <w:instrText xml:space="preserve"> PAGEREF _Toc73027868 \h </w:instrText>
        </w:r>
        <w:r w:rsidR="00EA3623">
          <w:rPr>
            <w:noProof/>
            <w:webHidden/>
          </w:rPr>
        </w:r>
        <w:r w:rsidR="00EA3623">
          <w:rPr>
            <w:noProof/>
            <w:webHidden/>
          </w:rPr>
          <w:fldChar w:fldCharType="separate"/>
        </w:r>
        <w:r w:rsidR="00EA3623">
          <w:rPr>
            <w:noProof/>
            <w:webHidden/>
          </w:rPr>
          <w:t>37</w:t>
        </w:r>
        <w:r w:rsidR="00EA3623">
          <w:rPr>
            <w:noProof/>
            <w:webHidden/>
          </w:rPr>
          <w:fldChar w:fldCharType="end"/>
        </w:r>
      </w:hyperlink>
    </w:p>
    <w:p w14:paraId="7C49695D" w14:textId="78B346BA"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69" w:history="1">
        <w:r w:rsidR="00EA3623" w:rsidRPr="0044282E">
          <w:rPr>
            <w:rStyle w:val="Lienhypertexte"/>
            <w:noProof/>
          </w:rPr>
          <w:t>2.</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Panel de souches de terrain non typées fournies par l’IFIP</w:t>
        </w:r>
        <w:r w:rsidR="00EA3623">
          <w:rPr>
            <w:noProof/>
            <w:webHidden/>
          </w:rPr>
          <w:tab/>
        </w:r>
        <w:r w:rsidR="00EA3623">
          <w:rPr>
            <w:noProof/>
            <w:webHidden/>
          </w:rPr>
          <w:fldChar w:fldCharType="begin"/>
        </w:r>
        <w:r w:rsidR="00EA3623">
          <w:rPr>
            <w:noProof/>
            <w:webHidden/>
          </w:rPr>
          <w:instrText xml:space="preserve"> PAGEREF _Toc73027869 \h </w:instrText>
        </w:r>
        <w:r w:rsidR="00EA3623">
          <w:rPr>
            <w:noProof/>
            <w:webHidden/>
          </w:rPr>
        </w:r>
        <w:r w:rsidR="00EA3623">
          <w:rPr>
            <w:noProof/>
            <w:webHidden/>
          </w:rPr>
          <w:fldChar w:fldCharType="separate"/>
        </w:r>
        <w:r w:rsidR="00EA3623">
          <w:rPr>
            <w:noProof/>
            <w:webHidden/>
          </w:rPr>
          <w:t>38</w:t>
        </w:r>
        <w:r w:rsidR="00EA3623">
          <w:rPr>
            <w:noProof/>
            <w:webHidden/>
          </w:rPr>
          <w:fldChar w:fldCharType="end"/>
        </w:r>
      </w:hyperlink>
    </w:p>
    <w:p w14:paraId="275C021B" w14:textId="081396C6"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70" w:history="1">
        <w:r w:rsidR="00EA3623" w:rsidRPr="0044282E">
          <w:rPr>
            <w:rStyle w:val="Lienhypertexte"/>
            <w:noProof/>
          </w:rPr>
          <w:t>3.</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Panel de d’inclusivité de 306 souches</w:t>
        </w:r>
        <w:r w:rsidR="00EA3623">
          <w:rPr>
            <w:noProof/>
            <w:webHidden/>
          </w:rPr>
          <w:tab/>
        </w:r>
        <w:r w:rsidR="00EA3623">
          <w:rPr>
            <w:noProof/>
            <w:webHidden/>
          </w:rPr>
          <w:fldChar w:fldCharType="begin"/>
        </w:r>
        <w:r w:rsidR="00EA3623">
          <w:rPr>
            <w:noProof/>
            <w:webHidden/>
          </w:rPr>
          <w:instrText xml:space="preserve"> PAGEREF _Toc73027870 \h </w:instrText>
        </w:r>
        <w:r w:rsidR="00EA3623">
          <w:rPr>
            <w:noProof/>
            <w:webHidden/>
          </w:rPr>
        </w:r>
        <w:r w:rsidR="00EA3623">
          <w:rPr>
            <w:noProof/>
            <w:webHidden/>
          </w:rPr>
          <w:fldChar w:fldCharType="separate"/>
        </w:r>
        <w:r w:rsidR="00EA3623">
          <w:rPr>
            <w:noProof/>
            <w:webHidden/>
          </w:rPr>
          <w:t>39</w:t>
        </w:r>
        <w:r w:rsidR="00EA3623">
          <w:rPr>
            <w:noProof/>
            <w:webHidden/>
          </w:rPr>
          <w:fldChar w:fldCharType="end"/>
        </w:r>
      </w:hyperlink>
    </w:p>
    <w:p w14:paraId="0FC9A040" w14:textId="6D5E2569"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71" w:history="1">
        <w:r w:rsidR="00EA3623" w:rsidRPr="0044282E">
          <w:rPr>
            <w:rStyle w:val="Lienhypertexte"/>
            <w:noProof/>
          </w:rPr>
          <w:t>4.</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Panel d’exclusivité de 86 souches</w:t>
        </w:r>
        <w:r w:rsidR="00EA3623">
          <w:rPr>
            <w:noProof/>
            <w:webHidden/>
          </w:rPr>
          <w:tab/>
        </w:r>
        <w:r w:rsidR="00EA3623">
          <w:rPr>
            <w:noProof/>
            <w:webHidden/>
          </w:rPr>
          <w:fldChar w:fldCharType="begin"/>
        </w:r>
        <w:r w:rsidR="00EA3623">
          <w:rPr>
            <w:noProof/>
            <w:webHidden/>
          </w:rPr>
          <w:instrText xml:space="preserve"> PAGEREF _Toc73027871 \h </w:instrText>
        </w:r>
        <w:r w:rsidR="00EA3623">
          <w:rPr>
            <w:noProof/>
            <w:webHidden/>
          </w:rPr>
        </w:r>
        <w:r w:rsidR="00EA3623">
          <w:rPr>
            <w:noProof/>
            <w:webHidden/>
          </w:rPr>
          <w:fldChar w:fldCharType="separate"/>
        </w:r>
        <w:r w:rsidR="00EA3623">
          <w:rPr>
            <w:noProof/>
            <w:webHidden/>
          </w:rPr>
          <w:t>43</w:t>
        </w:r>
        <w:r w:rsidR="00EA3623">
          <w:rPr>
            <w:noProof/>
            <w:webHidden/>
          </w:rPr>
          <w:fldChar w:fldCharType="end"/>
        </w:r>
      </w:hyperlink>
    </w:p>
    <w:p w14:paraId="451573F1" w14:textId="5A5B2D08" w:rsidR="00EA3623" w:rsidRDefault="00657B21">
      <w:pPr>
        <w:pStyle w:val="TM3"/>
        <w:tabs>
          <w:tab w:val="left" w:pos="880"/>
          <w:tab w:val="right" w:leader="dot" w:pos="10194"/>
        </w:tabs>
        <w:rPr>
          <w:rFonts w:asciiTheme="minorHAnsi" w:eastAsiaTheme="minorEastAsia" w:hAnsiTheme="minorHAnsi" w:cstheme="minorBidi"/>
          <w:noProof/>
          <w:sz w:val="22"/>
          <w:szCs w:val="22"/>
          <w:lang w:eastAsia="fr-FR" w:bidi="ar-SA"/>
        </w:rPr>
      </w:pPr>
      <w:hyperlink w:anchor="_Toc73027872" w:history="1">
        <w:r w:rsidR="00EA3623" w:rsidRPr="0044282E">
          <w:rPr>
            <w:rStyle w:val="Lienhypertexte"/>
            <w:noProof/>
          </w:rPr>
          <w:t>5.</w:t>
        </w:r>
        <w:r w:rsidR="00EA3623">
          <w:rPr>
            <w:rFonts w:asciiTheme="minorHAnsi" w:eastAsiaTheme="minorEastAsia" w:hAnsiTheme="minorHAnsi" w:cstheme="minorBidi"/>
            <w:noProof/>
            <w:sz w:val="22"/>
            <w:szCs w:val="22"/>
            <w:lang w:eastAsia="fr-FR" w:bidi="ar-SA"/>
          </w:rPr>
          <w:tab/>
        </w:r>
        <w:r w:rsidR="00EA3623" w:rsidRPr="0044282E">
          <w:rPr>
            <w:rStyle w:val="Lienhypertexte"/>
            <w:noProof/>
          </w:rPr>
          <w:t>Panel de souches utilisé pour l’évaluation de la PCR en temps réel Geno</w:t>
        </w:r>
        <w:r w:rsidR="00EA3623" w:rsidRPr="0044282E">
          <w:rPr>
            <w:rStyle w:val="Lienhypertexte"/>
            <w:i/>
            <w:noProof/>
          </w:rPr>
          <w:t>Listeria</w:t>
        </w:r>
        <w:r w:rsidR="00EA3623" w:rsidRPr="0044282E">
          <w:rPr>
            <w:rStyle w:val="Lienhypertexte"/>
            <w:noProof/>
          </w:rPr>
          <w:t xml:space="preserve"> triplex</w:t>
        </w:r>
        <w:r w:rsidR="00EA3623">
          <w:rPr>
            <w:noProof/>
            <w:webHidden/>
          </w:rPr>
          <w:tab/>
        </w:r>
        <w:r w:rsidR="00EA3623">
          <w:rPr>
            <w:noProof/>
            <w:webHidden/>
          </w:rPr>
          <w:fldChar w:fldCharType="begin"/>
        </w:r>
        <w:r w:rsidR="00EA3623">
          <w:rPr>
            <w:noProof/>
            <w:webHidden/>
          </w:rPr>
          <w:instrText xml:space="preserve"> PAGEREF _Toc73027872 \h </w:instrText>
        </w:r>
        <w:r w:rsidR="00EA3623">
          <w:rPr>
            <w:noProof/>
            <w:webHidden/>
          </w:rPr>
        </w:r>
        <w:r w:rsidR="00EA3623">
          <w:rPr>
            <w:noProof/>
            <w:webHidden/>
          </w:rPr>
          <w:fldChar w:fldCharType="separate"/>
        </w:r>
        <w:r w:rsidR="00EA3623">
          <w:rPr>
            <w:noProof/>
            <w:webHidden/>
          </w:rPr>
          <w:t>44</w:t>
        </w:r>
        <w:r w:rsidR="00EA3623">
          <w:rPr>
            <w:noProof/>
            <w:webHidden/>
          </w:rPr>
          <w:fldChar w:fldCharType="end"/>
        </w:r>
      </w:hyperlink>
    </w:p>
    <w:p w14:paraId="630DC355" w14:textId="1BF9AF2E" w:rsidR="00EA3623" w:rsidRDefault="00657B21">
      <w:pPr>
        <w:pStyle w:val="TM1"/>
        <w:tabs>
          <w:tab w:val="left" w:pos="660"/>
          <w:tab w:val="right" w:leader="dot" w:pos="10194"/>
        </w:tabs>
        <w:rPr>
          <w:rFonts w:asciiTheme="minorHAnsi" w:eastAsiaTheme="minorEastAsia" w:hAnsiTheme="minorHAnsi" w:cstheme="minorBidi"/>
          <w:b w:val="0"/>
          <w:bCs w:val="0"/>
          <w:i w:val="0"/>
          <w:iCs w:val="0"/>
          <w:noProof/>
          <w:sz w:val="22"/>
          <w:szCs w:val="22"/>
          <w:lang w:eastAsia="fr-FR" w:bidi="ar-SA"/>
        </w:rPr>
      </w:pPr>
      <w:hyperlink w:anchor="_Toc73027873" w:history="1">
        <w:r w:rsidR="00EA3623" w:rsidRPr="0044282E">
          <w:rPr>
            <w:rStyle w:val="Lienhypertexte"/>
            <w:rFonts w:ascii="Times New Roman" w:hAnsi="Times New Roman"/>
            <w:noProof/>
          </w:rPr>
          <w:t>IX.</w:t>
        </w:r>
        <w:r w:rsidR="00EA3623">
          <w:rPr>
            <w:rFonts w:asciiTheme="minorHAnsi" w:eastAsiaTheme="minorEastAsia" w:hAnsiTheme="minorHAnsi" w:cstheme="minorBidi"/>
            <w:b w:val="0"/>
            <w:bCs w:val="0"/>
            <w:i w:val="0"/>
            <w:iCs w:val="0"/>
            <w:noProof/>
            <w:sz w:val="22"/>
            <w:szCs w:val="22"/>
            <w:lang w:eastAsia="fr-FR" w:bidi="ar-SA"/>
          </w:rPr>
          <w:tab/>
        </w:r>
        <w:r w:rsidR="00EA3623" w:rsidRPr="0044282E">
          <w:rPr>
            <w:rStyle w:val="Lienhypertexte"/>
            <w:rFonts w:ascii="Times New Roman" w:hAnsi="Times New Roman"/>
            <w:noProof/>
          </w:rPr>
          <w:t>Références</w:t>
        </w:r>
        <w:r w:rsidR="00EA3623">
          <w:rPr>
            <w:noProof/>
            <w:webHidden/>
          </w:rPr>
          <w:tab/>
        </w:r>
        <w:r w:rsidR="00EA3623">
          <w:rPr>
            <w:noProof/>
            <w:webHidden/>
          </w:rPr>
          <w:fldChar w:fldCharType="begin"/>
        </w:r>
        <w:r w:rsidR="00EA3623">
          <w:rPr>
            <w:noProof/>
            <w:webHidden/>
          </w:rPr>
          <w:instrText xml:space="preserve"> PAGEREF _Toc73027873 \h </w:instrText>
        </w:r>
        <w:r w:rsidR="00EA3623">
          <w:rPr>
            <w:noProof/>
            <w:webHidden/>
          </w:rPr>
        </w:r>
        <w:r w:rsidR="00EA3623">
          <w:rPr>
            <w:noProof/>
            <w:webHidden/>
          </w:rPr>
          <w:fldChar w:fldCharType="separate"/>
        </w:r>
        <w:r w:rsidR="00EA3623">
          <w:rPr>
            <w:noProof/>
            <w:webHidden/>
          </w:rPr>
          <w:t>45</w:t>
        </w:r>
        <w:r w:rsidR="00EA3623">
          <w:rPr>
            <w:noProof/>
            <w:webHidden/>
          </w:rPr>
          <w:fldChar w:fldCharType="end"/>
        </w:r>
      </w:hyperlink>
    </w:p>
    <w:p w14:paraId="09CA3E19" w14:textId="2E303AFC" w:rsidR="00F66FD7" w:rsidRDefault="005F30DB" w:rsidP="00064899">
      <w:pPr>
        <w:spacing w:before="100" w:beforeAutospacing="1" w:after="100" w:afterAutospacing="1"/>
      </w:pPr>
      <w:r>
        <w:fldChar w:fldCharType="end"/>
      </w:r>
    </w:p>
    <w:p w14:paraId="2EBD0A3E" w14:textId="77777777" w:rsidR="009B3078" w:rsidRPr="0090118F" w:rsidRDefault="009B3078" w:rsidP="00FC0CD4">
      <w:pPr>
        <w:pStyle w:val="Titre1"/>
        <w:numPr>
          <w:ilvl w:val="0"/>
          <w:numId w:val="0"/>
        </w:numPr>
        <w:spacing w:before="100" w:beforeAutospacing="1" w:after="100" w:afterAutospacing="1"/>
        <w:rPr>
          <w:snapToGrid w:val="0"/>
          <w:color w:val="auto"/>
          <w:sz w:val="23"/>
        </w:rPr>
      </w:pPr>
      <w:bookmarkStart w:id="0" w:name="_Toc475355566"/>
      <w:bookmarkStart w:id="1" w:name="_Toc73027848"/>
      <w:bookmarkStart w:id="2" w:name="_Ref365381143"/>
      <w:bookmarkStart w:id="3" w:name="_Ref365381152"/>
      <w:bookmarkStart w:id="4" w:name="_Toc367978353"/>
      <w:r w:rsidRPr="0090118F">
        <w:rPr>
          <w:snapToGrid w:val="0"/>
          <w:color w:val="auto"/>
          <w:sz w:val="23"/>
        </w:rPr>
        <w:t>TABLE DES ILLUSTRATIONS</w:t>
      </w:r>
      <w:bookmarkEnd w:id="0"/>
      <w:bookmarkEnd w:id="1"/>
    </w:p>
    <w:p w14:paraId="3A2A8203" w14:textId="77777777" w:rsidR="00380D63" w:rsidRPr="0090118F" w:rsidRDefault="00380D63" w:rsidP="00380D63">
      <w:pPr>
        <w:spacing w:before="100" w:beforeAutospacing="1" w:after="100" w:afterAutospacing="1"/>
        <w:rPr>
          <w:b/>
        </w:rPr>
      </w:pPr>
      <w:r w:rsidRPr="0090118F">
        <w:rPr>
          <w:b/>
        </w:rPr>
        <w:t>FIGURES</w:t>
      </w:r>
    </w:p>
    <w:p w14:paraId="538FEA0B" w14:textId="528CC060" w:rsidR="00471485" w:rsidRDefault="00380D63">
      <w:pPr>
        <w:pStyle w:val="Tabledesillustrations"/>
        <w:tabs>
          <w:tab w:val="right" w:leader="dot" w:pos="10194"/>
        </w:tabs>
        <w:rPr>
          <w:rFonts w:asciiTheme="minorHAnsi" w:eastAsiaTheme="minorEastAsia" w:hAnsiTheme="minorHAnsi" w:cstheme="minorBidi"/>
          <w:noProof/>
          <w:lang w:eastAsia="fr-FR" w:bidi="ar-SA"/>
        </w:rPr>
      </w:pPr>
      <w:r>
        <w:rPr>
          <w:b/>
        </w:rPr>
        <w:fldChar w:fldCharType="begin"/>
      </w:r>
      <w:r>
        <w:rPr>
          <w:b/>
        </w:rPr>
        <w:instrText xml:space="preserve"> TOC \h \z \c "Figure" </w:instrText>
      </w:r>
      <w:r>
        <w:rPr>
          <w:b/>
        </w:rPr>
        <w:fldChar w:fldCharType="separate"/>
      </w:r>
      <w:hyperlink w:anchor="_Toc73027706" w:history="1">
        <w:r w:rsidR="00471485" w:rsidRPr="00700224">
          <w:rPr>
            <w:rStyle w:val="Lienhypertexte"/>
            <w:noProof/>
          </w:rPr>
          <w:t xml:space="preserve">Figure 1 : Dendrogramme obtenu en utilisant les enzymes </w:t>
        </w:r>
        <w:r w:rsidR="00471485" w:rsidRPr="00700224">
          <w:rPr>
            <w:rStyle w:val="Lienhypertexte"/>
            <w:i/>
            <w:noProof/>
          </w:rPr>
          <w:t xml:space="preserve">ApaI </w:t>
        </w:r>
        <w:r w:rsidR="00471485" w:rsidRPr="00700224">
          <w:rPr>
            <w:rStyle w:val="Lienhypertexte"/>
            <w:noProof/>
          </w:rPr>
          <w:t xml:space="preserve">et </w:t>
        </w:r>
        <w:r w:rsidR="00471485" w:rsidRPr="00700224">
          <w:rPr>
            <w:rStyle w:val="Lienhypertexte"/>
            <w:i/>
            <w:noProof/>
          </w:rPr>
          <w:t>AscI</w:t>
        </w:r>
        <w:r w:rsidR="00471485" w:rsidRPr="00700224">
          <w:rPr>
            <w:rStyle w:val="Lienhypertexte"/>
            <w:noProof/>
          </w:rPr>
          <w:t xml:space="preserve"> démontrant la diversité génétique des isolats de </w:t>
        </w:r>
        <w:r w:rsidR="00471485" w:rsidRPr="00700224">
          <w:rPr>
            <w:rStyle w:val="Lienhypertexte"/>
            <w:i/>
            <w:noProof/>
          </w:rPr>
          <w:t>L. monocytogenes</w:t>
        </w:r>
        <w:r w:rsidR="00471485">
          <w:rPr>
            <w:noProof/>
            <w:webHidden/>
          </w:rPr>
          <w:tab/>
        </w:r>
        <w:r w:rsidR="00471485">
          <w:rPr>
            <w:noProof/>
            <w:webHidden/>
          </w:rPr>
          <w:fldChar w:fldCharType="begin"/>
        </w:r>
        <w:r w:rsidR="00471485">
          <w:rPr>
            <w:noProof/>
            <w:webHidden/>
          </w:rPr>
          <w:instrText xml:space="preserve"> PAGEREF _Toc73027706 \h </w:instrText>
        </w:r>
        <w:r w:rsidR="00471485">
          <w:rPr>
            <w:noProof/>
            <w:webHidden/>
          </w:rPr>
        </w:r>
        <w:r w:rsidR="00471485">
          <w:rPr>
            <w:noProof/>
            <w:webHidden/>
          </w:rPr>
          <w:fldChar w:fldCharType="separate"/>
        </w:r>
        <w:r w:rsidR="00471485">
          <w:rPr>
            <w:noProof/>
            <w:webHidden/>
          </w:rPr>
          <w:t>14</w:t>
        </w:r>
        <w:r w:rsidR="00471485">
          <w:rPr>
            <w:noProof/>
            <w:webHidden/>
          </w:rPr>
          <w:fldChar w:fldCharType="end"/>
        </w:r>
      </w:hyperlink>
    </w:p>
    <w:p w14:paraId="53128308" w14:textId="71D493A7"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07" w:history="1">
        <w:r w:rsidR="00471485" w:rsidRPr="00700224">
          <w:rPr>
            <w:rStyle w:val="Lienhypertexte"/>
            <w:noProof/>
          </w:rPr>
          <w:t>Figure 2 : Nombre d’isolats par nature de prélèvements</w:t>
        </w:r>
        <w:r w:rsidR="00471485">
          <w:rPr>
            <w:noProof/>
            <w:webHidden/>
          </w:rPr>
          <w:tab/>
        </w:r>
        <w:r w:rsidR="00471485">
          <w:rPr>
            <w:noProof/>
            <w:webHidden/>
          </w:rPr>
          <w:fldChar w:fldCharType="begin"/>
        </w:r>
        <w:r w:rsidR="00471485">
          <w:rPr>
            <w:noProof/>
            <w:webHidden/>
          </w:rPr>
          <w:instrText xml:space="preserve"> PAGEREF _Toc73027707 \h </w:instrText>
        </w:r>
        <w:r w:rsidR="00471485">
          <w:rPr>
            <w:noProof/>
            <w:webHidden/>
          </w:rPr>
        </w:r>
        <w:r w:rsidR="00471485">
          <w:rPr>
            <w:noProof/>
            <w:webHidden/>
          </w:rPr>
          <w:fldChar w:fldCharType="separate"/>
        </w:r>
        <w:r w:rsidR="00471485">
          <w:rPr>
            <w:noProof/>
            <w:webHidden/>
          </w:rPr>
          <w:t>15</w:t>
        </w:r>
        <w:r w:rsidR="00471485">
          <w:rPr>
            <w:noProof/>
            <w:webHidden/>
          </w:rPr>
          <w:fldChar w:fldCharType="end"/>
        </w:r>
      </w:hyperlink>
    </w:p>
    <w:p w14:paraId="0839BE59" w14:textId="2932261A"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08" w:history="1">
        <w:r w:rsidR="00471485" w:rsidRPr="00700224">
          <w:rPr>
            <w:rStyle w:val="Lienhypertexte"/>
            <w:noProof/>
          </w:rPr>
          <w:t xml:space="preserve">Figure 3 : Nombre d’isolats par entreprise avec des prélèvements positifs en </w:t>
        </w:r>
        <w:r w:rsidR="00471485" w:rsidRPr="00700224">
          <w:rPr>
            <w:rStyle w:val="Lienhypertexte"/>
            <w:i/>
            <w:noProof/>
          </w:rPr>
          <w:t>L. monocytogenes</w:t>
        </w:r>
        <w:r w:rsidR="00471485">
          <w:rPr>
            <w:noProof/>
            <w:webHidden/>
          </w:rPr>
          <w:tab/>
        </w:r>
        <w:r w:rsidR="00471485">
          <w:rPr>
            <w:noProof/>
            <w:webHidden/>
          </w:rPr>
          <w:fldChar w:fldCharType="begin"/>
        </w:r>
        <w:r w:rsidR="00471485">
          <w:rPr>
            <w:noProof/>
            <w:webHidden/>
          </w:rPr>
          <w:instrText xml:space="preserve"> PAGEREF _Toc73027708 \h </w:instrText>
        </w:r>
        <w:r w:rsidR="00471485">
          <w:rPr>
            <w:noProof/>
            <w:webHidden/>
          </w:rPr>
        </w:r>
        <w:r w:rsidR="00471485">
          <w:rPr>
            <w:noProof/>
            <w:webHidden/>
          </w:rPr>
          <w:fldChar w:fldCharType="separate"/>
        </w:r>
        <w:r w:rsidR="00471485">
          <w:rPr>
            <w:noProof/>
            <w:webHidden/>
          </w:rPr>
          <w:t>15</w:t>
        </w:r>
        <w:r w:rsidR="00471485">
          <w:rPr>
            <w:noProof/>
            <w:webHidden/>
          </w:rPr>
          <w:fldChar w:fldCharType="end"/>
        </w:r>
      </w:hyperlink>
    </w:p>
    <w:p w14:paraId="2A481A26" w14:textId="26C81147"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09" w:history="1">
        <w:r w:rsidR="00471485" w:rsidRPr="00700224">
          <w:rPr>
            <w:rStyle w:val="Lienhypertexte"/>
            <w:noProof/>
          </w:rPr>
          <w:t xml:space="preserve">Figure 5 : </w:t>
        </w:r>
        <w:r w:rsidR="00471485" w:rsidRPr="00700224">
          <w:rPr>
            <w:rStyle w:val="Lienhypertexte"/>
            <w:noProof/>
            <w:lang w:eastAsia="en-GB"/>
          </w:rPr>
          <w:t xml:space="preserve"> a) Distribution des souches (n=135) dont le CC est déduit du profil PFGE au sein des CCs identifiés par la méthode de PCR en temps réel Geno</w:t>
        </w:r>
        <w:r w:rsidR="00471485" w:rsidRPr="00700224">
          <w:rPr>
            <w:rStyle w:val="Lienhypertexte"/>
            <w:i/>
            <w:noProof/>
            <w:lang w:eastAsia="en-GB"/>
          </w:rPr>
          <w:t xml:space="preserve">Listeria. </w:t>
        </w:r>
        <w:r w:rsidR="00471485" w:rsidRPr="00700224">
          <w:rPr>
            <w:rStyle w:val="Lienhypertexte"/>
            <w:noProof/>
            <w:lang w:eastAsia="en-GB"/>
          </w:rPr>
          <w:t>b) Distribution des souches (n=135) en identifiant les CCs déduits du profil PFGE individuellement via un code couleur.</w:t>
        </w:r>
        <w:r w:rsidR="00471485">
          <w:rPr>
            <w:noProof/>
            <w:webHidden/>
          </w:rPr>
          <w:tab/>
        </w:r>
        <w:r w:rsidR="00471485">
          <w:rPr>
            <w:noProof/>
            <w:webHidden/>
          </w:rPr>
          <w:fldChar w:fldCharType="begin"/>
        </w:r>
        <w:r w:rsidR="00471485">
          <w:rPr>
            <w:noProof/>
            <w:webHidden/>
          </w:rPr>
          <w:instrText xml:space="preserve"> PAGEREF _Toc73027709 \h </w:instrText>
        </w:r>
        <w:r w:rsidR="00471485">
          <w:rPr>
            <w:noProof/>
            <w:webHidden/>
          </w:rPr>
        </w:r>
        <w:r w:rsidR="00471485">
          <w:rPr>
            <w:noProof/>
            <w:webHidden/>
          </w:rPr>
          <w:fldChar w:fldCharType="separate"/>
        </w:r>
        <w:r w:rsidR="00471485">
          <w:rPr>
            <w:noProof/>
            <w:webHidden/>
          </w:rPr>
          <w:t>31</w:t>
        </w:r>
        <w:r w:rsidR="00471485">
          <w:rPr>
            <w:noProof/>
            <w:webHidden/>
          </w:rPr>
          <w:fldChar w:fldCharType="end"/>
        </w:r>
      </w:hyperlink>
    </w:p>
    <w:p w14:paraId="2B1FF807" w14:textId="0E17DA6C"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0" w:history="1">
        <w:r w:rsidR="00471485" w:rsidRPr="00700224">
          <w:rPr>
            <w:rStyle w:val="Lienhypertexte"/>
            <w:noProof/>
          </w:rPr>
          <w:t>Figure 6 : Distribution des CC obtenus par la méthode PCR en temps réel Geno</w:t>
        </w:r>
        <w:r w:rsidR="00471485" w:rsidRPr="00700224">
          <w:rPr>
            <w:rStyle w:val="Lienhypertexte"/>
            <w:i/>
            <w:noProof/>
          </w:rPr>
          <w:t>Listeria</w:t>
        </w:r>
        <w:r w:rsidR="00471485" w:rsidRPr="00700224">
          <w:rPr>
            <w:rStyle w:val="Lienhypertexte"/>
            <w:noProof/>
          </w:rPr>
          <w:t xml:space="preserve"> sur les 72 souches isolées de la filière viande</w:t>
        </w:r>
        <w:r w:rsidR="00471485">
          <w:rPr>
            <w:noProof/>
            <w:webHidden/>
          </w:rPr>
          <w:tab/>
        </w:r>
        <w:r w:rsidR="00471485">
          <w:rPr>
            <w:noProof/>
            <w:webHidden/>
          </w:rPr>
          <w:fldChar w:fldCharType="begin"/>
        </w:r>
        <w:r w:rsidR="00471485">
          <w:rPr>
            <w:noProof/>
            <w:webHidden/>
          </w:rPr>
          <w:instrText xml:space="preserve"> PAGEREF _Toc73027710 \h </w:instrText>
        </w:r>
        <w:r w:rsidR="00471485">
          <w:rPr>
            <w:noProof/>
            <w:webHidden/>
          </w:rPr>
        </w:r>
        <w:r w:rsidR="00471485">
          <w:rPr>
            <w:noProof/>
            <w:webHidden/>
          </w:rPr>
          <w:fldChar w:fldCharType="separate"/>
        </w:r>
        <w:r w:rsidR="00471485">
          <w:rPr>
            <w:noProof/>
            <w:webHidden/>
          </w:rPr>
          <w:t>31</w:t>
        </w:r>
        <w:r w:rsidR="00471485">
          <w:rPr>
            <w:noProof/>
            <w:webHidden/>
          </w:rPr>
          <w:fldChar w:fldCharType="end"/>
        </w:r>
      </w:hyperlink>
    </w:p>
    <w:p w14:paraId="51A1C0F6" w14:textId="7F9A0A73" w:rsidR="00380D63" w:rsidRDefault="00380D63" w:rsidP="00FC0CD4">
      <w:pPr>
        <w:spacing w:before="100" w:beforeAutospacing="1" w:after="100" w:afterAutospacing="1"/>
        <w:rPr>
          <w:b/>
        </w:rPr>
      </w:pPr>
      <w:r>
        <w:rPr>
          <w:b/>
        </w:rPr>
        <w:fldChar w:fldCharType="end"/>
      </w:r>
    </w:p>
    <w:p w14:paraId="253EB91A" w14:textId="169FE87F" w:rsidR="009B3078" w:rsidRPr="0090118F" w:rsidRDefault="00380D63" w:rsidP="00FC0CD4">
      <w:pPr>
        <w:spacing w:before="100" w:beforeAutospacing="1" w:after="100" w:afterAutospacing="1"/>
        <w:rPr>
          <w:b/>
        </w:rPr>
      </w:pPr>
      <w:r>
        <w:rPr>
          <w:b/>
        </w:rPr>
        <w:t>TABLEAUX</w:t>
      </w:r>
    </w:p>
    <w:p w14:paraId="61D26EA9" w14:textId="424F9D03" w:rsidR="00471485" w:rsidRDefault="00380D63">
      <w:pPr>
        <w:pStyle w:val="Tabledesillustrations"/>
        <w:tabs>
          <w:tab w:val="right" w:leader="dot" w:pos="10194"/>
        </w:tabs>
        <w:rPr>
          <w:rFonts w:asciiTheme="minorHAnsi" w:eastAsiaTheme="minorEastAsia" w:hAnsiTheme="minorHAnsi" w:cstheme="minorBidi"/>
          <w:noProof/>
          <w:lang w:eastAsia="fr-FR" w:bidi="ar-SA"/>
        </w:rPr>
      </w:pPr>
      <w:r>
        <w:fldChar w:fldCharType="begin"/>
      </w:r>
      <w:r>
        <w:instrText xml:space="preserve"> TOC \h \z \c "Tableau" </w:instrText>
      </w:r>
      <w:r>
        <w:fldChar w:fldCharType="separate"/>
      </w:r>
      <w:hyperlink w:anchor="_Toc73027711" w:history="1">
        <w:r w:rsidR="00471485" w:rsidRPr="00804684">
          <w:rPr>
            <w:rStyle w:val="Lienhypertexte"/>
            <w:noProof/>
          </w:rPr>
          <w:t>Tableau 1 : Lignées, sérogroupes et sérotypes des souches du panel.</w:t>
        </w:r>
        <w:r w:rsidR="00471485">
          <w:rPr>
            <w:noProof/>
            <w:webHidden/>
          </w:rPr>
          <w:tab/>
        </w:r>
        <w:r w:rsidR="00471485">
          <w:rPr>
            <w:noProof/>
            <w:webHidden/>
          </w:rPr>
          <w:fldChar w:fldCharType="begin"/>
        </w:r>
        <w:r w:rsidR="00471485">
          <w:rPr>
            <w:noProof/>
            <w:webHidden/>
          </w:rPr>
          <w:instrText xml:space="preserve"> PAGEREF _Toc73027711 \h </w:instrText>
        </w:r>
        <w:r w:rsidR="00471485">
          <w:rPr>
            <w:noProof/>
            <w:webHidden/>
          </w:rPr>
        </w:r>
        <w:r w:rsidR="00471485">
          <w:rPr>
            <w:noProof/>
            <w:webHidden/>
          </w:rPr>
          <w:fldChar w:fldCharType="separate"/>
        </w:r>
        <w:r w:rsidR="00471485">
          <w:rPr>
            <w:noProof/>
            <w:webHidden/>
          </w:rPr>
          <w:t>16</w:t>
        </w:r>
        <w:r w:rsidR="00471485">
          <w:rPr>
            <w:noProof/>
            <w:webHidden/>
          </w:rPr>
          <w:fldChar w:fldCharType="end"/>
        </w:r>
      </w:hyperlink>
    </w:p>
    <w:p w14:paraId="60EC3A9D" w14:textId="6C05AD20"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2" w:history="1">
        <w:r w:rsidR="00471485" w:rsidRPr="00804684">
          <w:rPr>
            <w:rStyle w:val="Lienhypertexte"/>
            <w:noProof/>
          </w:rPr>
          <w:t xml:space="preserve">Tableau 2 : Diversité génétique des souches de </w:t>
        </w:r>
        <w:r w:rsidR="00471485" w:rsidRPr="00804684">
          <w:rPr>
            <w:rStyle w:val="Lienhypertexte"/>
            <w:i/>
            <w:noProof/>
          </w:rPr>
          <w:t>L. monocytogenes</w:t>
        </w:r>
        <w:r w:rsidR="00471485" w:rsidRPr="00804684">
          <w:rPr>
            <w:rStyle w:val="Lienhypertexte"/>
            <w:noProof/>
          </w:rPr>
          <w:t xml:space="preserve"> sélectionnées</w:t>
        </w:r>
        <w:r w:rsidR="00471485">
          <w:rPr>
            <w:noProof/>
            <w:webHidden/>
          </w:rPr>
          <w:tab/>
        </w:r>
        <w:r w:rsidR="00471485">
          <w:rPr>
            <w:noProof/>
            <w:webHidden/>
          </w:rPr>
          <w:fldChar w:fldCharType="begin"/>
        </w:r>
        <w:r w:rsidR="00471485">
          <w:rPr>
            <w:noProof/>
            <w:webHidden/>
          </w:rPr>
          <w:instrText xml:space="preserve"> PAGEREF _Toc73027712 \h </w:instrText>
        </w:r>
        <w:r w:rsidR="00471485">
          <w:rPr>
            <w:noProof/>
            <w:webHidden/>
          </w:rPr>
        </w:r>
        <w:r w:rsidR="00471485">
          <w:rPr>
            <w:noProof/>
            <w:webHidden/>
          </w:rPr>
          <w:fldChar w:fldCharType="separate"/>
        </w:r>
        <w:r w:rsidR="00471485">
          <w:rPr>
            <w:noProof/>
            <w:webHidden/>
          </w:rPr>
          <w:t>18</w:t>
        </w:r>
        <w:r w:rsidR="00471485">
          <w:rPr>
            <w:noProof/>
            <w:webHidden/>
          </w:rPr>
          <w:fldChar w:fldCharType="end"/>
        </w:r>
      </w:hyperlink>
    </w:p>
    <w:p w14:paraId="6191751F" w14:textId="502A0F80"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3" w:history="1">
        <w:r w:rsidR="00471485" w:rsidRPr="00804684">
          <w:rPr>
            <w:rStyle w:val="Lienhypertexte"/>
            <w:noProof/>
          </w:rPr>
          <w:t xml:space="preserve">Tableau 3 : Diversité génétique des souches de </w:t>
        </w:r>
        <w:r w:rsidR="00471485" w:rsidRPr="00804684">
          <w:rPr>
            <w:rStyle w:val="Lienhypertexte"/>
            <w:i/>
            <w:noProof/>
          </w:rPr>
          <w:t xml:space="preserve">L. monocytogenes </w:t>
        </w:r>
        <w:r w:rsidR="00471485" w:rsidRPr="00804684">
          <w:rPr>
            <w:rStyle w:val="Lienhypertexte"/>
            <w:noProof/>
          </w:rPr>
          <w:t>sélectionnées</w:t>
        </w:r>
        <w:r w:rsidR="00471485">
          <w:rPr>
            <w:noProof/>
            <w:webHidden/>
          </w:rPr>
          <w:tab/>
        </w:r>
        <w:r w:rsidR="00471485">
          <w:rPr>
            <w:noProof/>
            <w:webHidden/>
          </w:rPr>
          <w:fldChar w:fldCharType="begin"/>
        </w:r>
        <w:r w:rsidR="00471485">
          <w:rPr>
            <w:noProof/>
            <w:webHidden/>
          </w:rPr>
          <w:instrText xml:space="preserve"> PAGEREF _Toc73027713 \h </w:instrText>
        </w:r>
        <w:r w:rsidR="00471485">
          <w:rPr>
            <w:noProof/>
            <w:webHidden/>
          </w:rPr>
        </w:r>
        <w:r w:rsidR="00471485">
          <w:rPr>
            <w:noProof/>
            <w:webHidden/>
          </w:rPr>
          <w:fldChar w:fldCharType="separate"/>
        </w:r>
        <w:r w:rsidR="00471485">
          <w:rPr>
            <w:noProof/>
            <w:webHidden/>
          </w:rPr>
          <w:t>19</w:t>
        </w:r>
        <w:r w:rsidR="00471485">
          <w:rPr>
            <w:noProof/>
            <w:webHidden/>
          </w:rPr>
          <w:fldChar w:fldCharType="end"/>
        </w:r>
      </w:hyperlink>
    </w:p>
    <w:p w14:paraId="2447092B" w14:textId="5E40AE1C"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4" w:history="1">
        <w:r w:rsidR="00471485" w:rsidRPr="00804684">
          <w:rPr>
            <w:rStyle w:val="Lienhypertexte"/>
            <w:noProof/>
          </w:rPr>
          <w:t xml:space="preserve">Tableau 4 : Diversité génétique des souches de </w:t>
        </w:r>
        <w:r w:rsidR="00471485" w:rsidRPr="00804684">
          <w:rPr>
            <w:rStyle w:val="Lienhypertexte"/>
            <w:i/>
            <w:noProof/>
          </w:rPr>
          <w:t>L. monocytogenes</w:t>
        </w:r>
        <w:r w:rsidR="00471485" w:rsidRPr="00804684">
          <w:rPr>
            <w:rStyle w:val="Lienhypertexte"/>
            <w:noProof/>
          </w:rPr>
          <w:t xml:space="preserve"> sélectionnées en fonction de l’entreprise dans laquelle les prélèvements avaient été réalisés dans de précédents projets de recherche</w:t>
        </w:r>
        <w:r w:rsidR="00471485">
          <w:rPr>
            <w:noProof/>
            <w:webHidden/>
          </w:rPr>
          <w:tab/>
        </w:r>
        <w:r w:rsidR="00471485">
          <w:rPr>
            <w:noProof/>
            <w:webHidden/>
          </w:rPr>
          <w:fldChar w:fldCharType="begin"/>
        </w:r>
        <w:r w:rsidR="00471485">
          <w:rPr>
            <w:noProof/>
            <w:webHidden/>
          </w:rPr>
          <w:instrText xml:space="preserve"> PAGEREF _Toc73027714 \h </w:instrText>
        </w:r>
        <w:r w:rsidR="00471485">
          <w:rPr>
            <w:noProof/>
            <w:webHidden/>
          </w:rPr>
        </w:r>
        <w:r w:rsidR="00471485">
          <w:rPr>
            <w:noProof/>
            <w:webHidden/>
          </w:rPr>
          <w:fldChar w:fldCharType="separate"/>
        </w:r>
        <w:r w:rsidR="00471485">
          <w:rPr>
            <w:noProof/>
            <w:webHidden/>
          </w:rPr>
          <w:t>20</w:t>
        </w:r>
        <w:r w:rsidR="00471485">
          <w:rPr>
            <w:noProof/>
            <w:webHidden/>
          </w:rPr>
          <w:fldChar w:fldCharType="end"/>
        </w:r>
      </w:hyperlink>
    </w:p>
    <w:p w14:paraId="54378778" w14:textId="6AE6601F"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5" w:history="1">
        <w:r w:rsidR="00471485" w:rsidRPr="00804684">
          <w:rPr>
            <w:rStyle w:val="Lienhypertexte"/>
            <w:noProof/>
          </w:rPr>
          <w:t>Tableau 5 : Souches utilisées comme contrôles internes de la méthode PCR en temps réel Geno</w:t>
        </w:r>
        <w:r w:rsidR="00471485" w:rsidRPr="00804684">
          <w:rPr>
            <w:rStyle w:val="Lienhypertexte"/>
            <w:i/>
            <w:noProof/>
          </w:rPr>
          <w:t>Listeria</w:t>
        </w:r>
        <w:r w:rsidR="00471485">
          <w:rPr>
            <w:noProof/>
            <w:webHidden/>
          </w:rPr>
          <w:tab/>
        </w:r>
        <w:r w:rsidR="00471485">
          <w:rPr>
            <w:noProof/>
            <w:webHidden/>
          </w:rPr>
          <w:fldChar w:fldCharType="begin"/>
        </w:r>
        <w:r w:rsidR="00471485">
          <w:rPr>
            <w:noProof/>
            <w:webHidden/>
          </w:rPr>
          <w:instrText xml:space="preserve"> PAGEREF _Toc73027715 \h </w:instrText>
        </w:r>
        <w:r w:rsidR="00471485">
          <w:rPr>
            <w:noProof/>
            <w:webHidden/>
          </w:rPr>
        </w:r>
        <w:r w:rsidR="00471485">
          <w:rPr>
            <w:noProof/>
            <w:webHidden/>
          </w:rPr>
          <w:fldChar w:fldCharType="separate"/>
        </w:r>
        <w:r w:rsidR="00471485">
          <w:rPr>
            <w:noProof/>
            <w:webHidden/>
          </w:rPr>
          <w:t>23</w:t>
        </w:r>
        <w:r w:rsidR="00471485">
          <w:rPr>
            <w:noProof/>
            <w:webHidden/>
          </w:rPr>
          <w:fldChar w:fldCharType="end"/>
        </w:r>
      </w:hyperlink>
    </w:p>
    <w:p w14:paraId="7154E00E" w14:textId="01953800"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6" w:history="1">
        <w:r w:rsidR="00471485" w:rsidRPr="00804684">
          <w:rPr>
            <w:rStyle w:val="Lienhypertexte"/>
            <w:noProof/>
          </w:rPr>
          <w:t xml:space="preserve">Tableau 6 : Correspondance entre les complexes clonaux (CC) de MLST et les sérotypes moléculaires de </w:t>
        </w:r>
        <w:r w:rsidR="00471485" w:rsidRPr="00804684">
          <w:rPr>
            <w:rStyle w:val="Lienhypertexte"/>
            <w:i/>
            <w:noProof/>
          </w:rPr>
          <w:t>L. monocytogenes</w:t>
        </w:r>
        <w:r w:rsidR="00471485">
          <w:rPr>
            <w:noProof/>
            <w:webHidden/>
          </w:rPr>
          <w:tab/>
        </w:r>
        <w:r w:rsidR="00471485">
          <w:rPr>
            <w:noProof/>
            <w:webHidden/>
          </w:rPr>
          <w:fldChar w:fldCharType="begin"/>
        </w:r>
        <w:r w:rsidR="00471485">
          <w:rPr>
            <w:noProof/>
            <w:webHidden/>
          </w:rPr>
          <w:instrText xml:space="preserve"> PAGEREF _Toc73027716 \h </w:instrText>
        </w:r>
        <w:r w:rsidR="00471485">
          <w:rPr>
            <w:noProof/>
            <w:webHidden/>
          </w:rPr>
        </w:r>
        <w:r w:rsidR="00471485">
          <w:rPr>
            <w:noProof/>
            <w:webHidden/>
          </w:rPr>
          <w:fldChar w:fldCharType="separate"/>
        </w:r>
        <w:r w:rsidR="00471485">
          <w:rPr>
            <w:noProof/>
            <w:webHidden/>
          </w:rPr>
          <w:t>27</w:t>
        </w:r>
        <w:r w:rsidR="00471485">
          <w:rPr>
            <w:noProof/>
            <w:webHidden/>
          </w:rPr>
          <w:fldChar w:fldCharType="end"/>
        </w:r>
      </w:hyperlink>
    </w:p>
    <w:p w14:paraId="602474A4" w14:textId="1A482FCA"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7" w:history="1">
        <w:r w:rsidR="00471485" w:rsidRPr="00804684">
          <w:rPr>
            <w:rStyle w:val="Lienhypertexte"/>
            <w:noProof/>
          </w:rPr>
          <w:t>Tableau 7: Association des couples de sondes et d’amorces au format triplex</w:t>
        </w:r>
        <w:r w:rsidR="00471485">
          <w:rPr>
            <w:noProof/>
            <w:webHidden/>
          </w:rPr>
          <w:tab/>
        </w:r>
        <w:r w:rsidR="00471485">
          <w:rPr>
            <w:noProof/>
            <w:webHidden/>
          </w:rPr>
          <w:fldChar w:fldCharType="begin"/>
        </w:r>
        <w:r w:rsidR="00471485">
          <w:rPr>
            <w:noProof/>
            <w:webHidden/>
          </w:rPr>
          <w:instrText xml:space="preserve"> PAGEREF _Toc73027717 \h </w:instrText>
        </w:r>
        <w:r w:rsidR="00471485">
          <w:rPr>
            <w:noProof/>
            <w:webHidden/>
          </w:rPr>
        </w:r>
        <w:r w:rsidR="00471485">
          <w:rPr>
            <w:noProof/>
            <w:webHidden/>
          </w:rPr>
          <w:fldChar w:fldCharType="separate"/>
        </w:r>
        <w:r w:rsidR="00471485">
          <w:rPr>
            <w:noProof/>
            <w:webHidden/>
          </w:rPr>
          <w:t>28</w:t>
        </w:r>
        <w:r w:rsidR="00471485">
          <w:rPr>
            <w:noProof/>
            <w:webHidden/>
          </w:rPr>
          <w:fldChar w:fldCharType="end"/>
        </w:r>
      </w:hyperlink>
    </w:p>
    <w:p w14:paraId="719BA5A5" w14:textId="7A23BF9C"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8" w:history="1">
        <w:r w:rsidR="00471485" w:rsidRPr="00804684">
          <w:rPr>
            <w:rStyle w:val="Lienhypertexte"/>
            <w:noProof/>
          </w:rPr>
          <w:t>Tableau 8: Co-détections identifiées pour chacun des tests PCR en temps réel</w:t>
        </w:r>
        <w:r w:rsidR="00471485">
          <w:rPr>
            <w:noProof/>
            <w:webHidden/>
          </w:rPr>
          <w:tab/>
        </w:r>
        <w:r w:rsidR="00471485">
          <w:rPr>
            <w:noProof/>
            <w:webHidden/>
          </w:rPr>
          <w:fldChar w:fldCharType="begin"/>
        </w:r>
        <w:r w:rsidR="00471485">
          <w:rPr>
            <w:noProof/>
            <w:webHidden/>
          </w:rPr>
          <w:instrText xml:space="preserve"> PAGEREF _Toc73027718 \h </w:instrText>
        </w:r>
        <w:r w:rsidR="00471485">
          <w:rPr>
            <w:noProof/>
            <w:webHidden/>
          </w:rPr>
        </w:r>
        <w:r w:rsidR="00471485">
          <w:rPr>
            <w:noProof/>
            <w:webHidden/>
          </w:rPr>
          <w:fldChar w:fldCharType="separate"/>
        </w:r>
        <w:r w:rsidR="00471485">
          <w:rPr>
            <w:noProof/>
            <w:webHidden/>
          </w:rPr>
          <w:t>30</w:t>
        </w:r>
        <w:r w:rsidR="00471485">
          <w:rPr>
            <w:noProof/>
            <w:webHidden/>
          </w:rPr>
          <w:fldChar w:fldCharType="end"/>
        </w:r>
      </w:hyperlink>
    </w:p>
    <w:p w14:paraId="7B2EA49F" w14:textId="530B9F64"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19" w:history="1">
        <w:r w:rsidR="00471485" w:rsidRPr="00804684">
          <w:rPr>
            <w:rStyle w:val="Lienhypertexte"/>
            <w:noProof/>
          </w:rPr>
          <w:t>Tableau 9 : Synthèse des résultats d’inclusivité</w:t>
        </w:r>
        <w:r w:rsidR="00471485">
          <w:rPr>
            <w:noProof/>
            <w:webHidden/>
          </w:rPr>
          <w:tab/>
        </w:r>
        <w:r w:rsidR="00471485">
          <w:rPr>
            <w:noProof/>
            <w:webHidden/>
          </w:rPr>
          <w:fldChar w:fldCharType="begin"/>
        </w:r>
        <w:r w:rsidR="00471485">
          <w:rPr>
            <w:noProof/>
            <w:webHidden/>
          </w:rPr>
          <w:instrText xml:space="preserve"> PAGEREF _Toc73027719 \h </w:instrText>
        </w:r>
        <w:r w:rsidR="00471485">
          <w:rPr>
            <w:noProof/>
            <w:webHidden/>
          </w:rPr>
        </w:r>
        <w:r w:rsidR="00471485">
          <w:rPr>
            <w:noProof/>
            <w:webHidden/>
          </w:rPr>
          <w:fldChar w:fldCharType="separate"/>
        </w:r>
        <w:r w:rsidR="00471485">
          <w:rPr>
            <w:noProof/>
            <w:webHidden/>
          </w:rPr>
          <w:t>32</w:t>
        </w:r>
        <w:r w:rsidR="00471485">
          <w:rPr>
            <w:noProof/>
            <w:webHidden/>
          </w:rPr>
          <w:fldChar w:fldCharType="end"/>
        </w:r>
      </w:hyperlink>
    </w:p>
    <w:p w14:paraId="476E675D" w14:textId="581B0578"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20" w:history="1">
        <w:r w:rsidR="00471485" w:rsidRPr="00804684">
          <w:rPr>
            <w:rStyle w:val="Lienhypertexte"/>
            <w:noProof/>
          </w:rPr>
          <w:t>Tableau 10 : Synthèse des résultats d’exclusivité</w:t>
        </w:r>
        <w:r w:rsidR="00471485">
          <w:rPr>
            <w:noProof/>
            <w:webHidden/>
          </w:rPr>
          <w:tab/>
        </w:r>
        <w:r w:rsidR="00471485">
          <w:rPr>
            <w:noProof/>
            <w:webHidden/>
          </w:rPr>
          <w:fldChar w:fldCharType="begin"/>
        </w:r>
        <w:r w:rsidR="00471485">
          <w:rPr>
            <w:noProof/>
            <w:webHidden/>
          </w:rPr>
          <w:instrText xml:space="preserve"> PAGEREF _Toc73027720 \h </w:instrText>
        </w:r>
        <w:r w:rsidR="00471485">
          <w:rPr>
            <w:noProof/>
            <w:webHidden/>
          </w:rPr>
        </w:r>
        <w:r w:rsidR="00471485">
          <w:rPr>
            <w:noProof/>
            <w:webHidden/>
          </w:rPr>
          <w:fldChar w:fldCharType="separate"/>
        </w:r>
        <w:r w:rsidR="00471485">
          <w:rPr>
            <w:noProof/>
            <w:webHidden/>
          </w:rPr>
          <w:t>33</w:t>
        </w:r>
        <w:r w:rsidR="00471485">
          <w:rPr>
            <w:noProof/>
            <w:webHidden/>
          </w:rPr>
          <w:fldChar w:fldCharType="end"/>
        </w:r>
      </w:hyperlink>
    </w:p>
    <w:p w14:paraId="71804182" w14:textId="33CFB06E"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21" w:history="1">
        <w:r w:rsidR="00471485" w:rsidRPr="00804684">
          <w:rPr>
            <w:rStyle w:val="Lienhypertexte"/>
            <w:noProof/>
          </w:rPr>
          <w:t>Tableau 11 : Coût de la PCR en temps réel Geno</w:t>
        </w:r>
        <w:r w:rsidR="00471485" w:rsidRPr="00804684">
          <w:rPr>
            <w:rStyle w:val="Lienhypertexte"/>
            <w:i/>
            <w:noProof/>
          </w:rPr>
          <w:t>Listeria</w:t>
        </w:r>
        <w:r w:rsidR="00471485" w:rsidRPr="00804684">
          <w:rPr>
            <w:rStyle w:val="Lienhypertexte"/>
            <w:noProof/>
          </w:rPr>
          <w:t xml:space="preserve"> haut débit.</w:t>
        </w:r>
        <w:r w:rsidR="00471485">
          <w:rPr>
            <w:noProof/>
            <w:webHidden/>
          </w:rPr>
          <w:tab/>
        </w:r>
        <w:r w:rsidR="00471485">
          <w:rPr>
            <w:noProof/>
            <w:webHidden/>
          </w:rPr>
          <w:fldChar w:fldCharType="begin"/>
        </w:r>
        <w:r w:rsidR="00471485">
          <w:rPr>
            <w:noProof/>
            <w:webHidden/>
          </w:rPr>
          <w:instrText xml:space="preserve"> PAGEREF _Toc73027721 \h </w:instrText>
        </w:r>
        <w:r w:rsidR="00471485">
          <w:rPr>
            <w:noProof/>
            <w:webHidden/>
          </w:rPr>
        </w:r>
        <w:r w:rsidR="00471485">
          <w:rPr>
            <w:noProof/>
            <w:webHidden/>
          </w:rPr>
          <w:fldChar w:fldCharType="separate"/>
        </w:r>
        <w:r w:rsidR="00471485">
          <w:rPr>
            <w:noProof/>
            <w:webHidden/>
          </w:rPr>
          <w:t>34</w:t>
        </w:r>
        <w:r w:rsidR="00471485">
          <w:rPr>
            <w:noProof/>
            <w:webHidden/>
          </w:rPr>
          <w:fldChar w:fldCharType="end"/>
        </w:r>
      </w:hyperlink>
    </w:p>
    <w:p w14:paraId="605E198D" w14:textId="15821A93" w:rsidR="00471485" w:rsidRDefault="00657B21">
      <w:pPr>
        <w:pStyle w:val="Tabledesillustrations"/>
        <w:tabs>
          <w:tab w:val="right" w:leader="dot" w:pos="10194"/>
        </w:tabs>
        <w:rPr>
          <w:rFonts w:asciiTheme="minorHAnsi" w:eastAsiaTheme="minorEastAsia" w:hAnsiTheme="minorHAnsi" w:cstheme="minorBidi"/>
          <w:noProof/>
          <w:lang w:eastAsia="fr-FR" w:bidi="ar-SA"/>
        </w:rPr>
      </w:pPr>
      <w:hyperlink w:anchor="_Toc73027722" w:history="1">
        <w:r w:rsidR="00471485" w:rsidRPr="00804684">
          <w:rPr>
            <w:rStyle w:val="Lienhypertexte"/>
            <w:noProof/>
          </w:rPr>
          <w:t>Tableau 12: Coût d’une PCR en temps réel triplex</w:t>
        </w:r>
        <w:r w:rsidR="00471485">
          <w:rPr>
            <w:noProof/>
            <w:webHidden/>
          </w:rPr>
          <w:tab/>
        </w:r>
        <w:r w:rsidR="00471485">
          <w:rPr>
            <w:noProof/>
            <w:webHidden/>
          </w:rPr>
          <w:fldChar w:fldCharType="begin"/>
        </w:r>
        <w:r w:rsidR="00471485">
          <w:rPr>
            <w:noProof/>
            <w:webHidden/>
          </w:rPr>
          <w:instrText xml:space="preserve"> PAGEREF _Toc73027722 \h </w:instrText>
        </w:r>
        <w:r w:rsidR="00471485">
          <w:rPr>
            <w:noProof/>
            <w:webHidden/>
          </w:rPr>
        </w:r>
        <w:r w:rsidR="00471485">
          <w:rPr>
            <w:noProof/>
            <w:webHidden/>
          </w:rPr>
          <w:fldChar w:fldCharType="separate"/>
        </w:r>
        <w:r w:rsidR="00471485">
          <w:rPr>
            <w:noProof/>
            <w:webHidden/>
          </w:rPr>
          <w:t>35</w:t>
        </w:r>
        <w:r w:rsidR="00471485">
          <w:rPr>
            <w:noProof/>
            <w:webHidden/>
          </w:rPr>
          <w:fldChar w:fldCharType="end"/>
        </w:r>
      </w:hyperlink>
    </w:p>
    <w:p w14:paraId="135FC34B" w14:textId="031BEFFD" w:rsidR="00F66FD7" w:rsidRDefault="00380D63" w:rsidP="00064899">
      <w:pPr>
        <w:spacing w:before="100" w:beforeAutospacing="1" w:after="100" w:afterAutospacing="1"/>
      </w:pPr>
      <w:r>
        <w:rPr>
          <w:sz w:val="22"/>
          <w:szCs w:val="22"/>
          <w:lang w:eastAsia="en-US" w:bidi="en-US"/>
        </w:rPr>
        <w:fldChar w:fldCharType="end"/>
      </w:r>
      <w:r w:rsidR="00F66FD7">
        <w:br w:type="page"/>
      </w:r>
    </w:p>
    <w:p w14:paraId="68DDE7A4" w14:textId="77777777" w:rsidR="007A27CE" w:rsidRPr="0090118F" w:rsidRDefault="007A27CE" w:rsidP="009B0706">
      <w:pPr>
        <w:pStyle w:val="Titre1"/>
      </w:pPr>
      <w:bookmarkStart w:id="5" w:name="_Toc367978354"/>
      <w:bookmarkStart w:id="6" w:name="_Toc475355568"/>
      <w:bookmarkStart w:id="7" w:name="_Toc73027849"/>
      <w:bookmarkEnd w:id="2"/>
      <w:bookmarkEnd w:id="3"/>
      <w:bookmarkEnd w:id="4"/>
      <w:r w:rsidRPr="0090118F">
        <w:lastRenderedPageBreak/>
        <w:t xml:space="preserve">Contexte </w:t>
      </w:r>
      <w:bookmarkEnd w:id="5"/>
      <w:r w:rsidRPr="0090118F">
        <w:t>scientifique</w:t>
      </w:r>
      <w:bookmarkEnd w:id="6"/>
      <w:bookmarkEnd w:id="7"/>
      <w:r w:rsidRPr="0090118F">
        <w:t xml:space="preserve"> </w:t>
      </w:r>
    </w:p>
    <w:p w14:paraId="02D146D3" w14:textId="77777777" w:rsidR="009B0706" w:rsidRPr="009B0706" w:rsidRDefault="009B0706" w:rsidP="009B0706">
      <w:pPr>
        <w:rPr>
          <w:noProof/>
        </w:rPr>
      </w:pPr>
      <w:r w:rsidRPr="009B0706">
        <w:rPr>
          <w:bCs/>
          <w:iCs/>
        </w:rPr>
        <w:t xml:space="preserve">Comme relevé par l’Organisation des Nations Unies pour l’alimentation et l’agriculture (FAO), la production mondiale de produits aquatiques continue à progresser ce qui suit la progression de la consommation humaine mondiale en produits aquatiques. </w:t>
      </w:r>
      <w:r w:rsidRPr="009B0706">
        <w:rPr>
          <w:noProof/>
        </w:rPr>
        <w:t>La filière des produits de la pêche et de l’aquaculture est engagée depuis plusieurs années dans des projets de recherche et études pour optimiser la maîtrise de la qualité sanitaire et organoleptique de ses produits.</w:t>
      </w:r>
    </w:p>
    <w:p w14:paraId="3196C167" w14:textId="77777777" w:rsidR="009B0706" w:rsidRPr="009B0706" w:rsidRDefault="009B0706" w:rsidP="009B0706">
      <w:r w:rsidRPr="009B0706">
        <w:rPr>
          <w:rFonts w:eastAsia="Calibri"/>
          <w:bCs/>
          <w:color w:val="000000"/>
          <w:kern w:val="24"/>
          <w:lang w:eastAsia="en-US"/>
        </w:rPr>
        <w:t xml:space="preserve">En 2017, en Europe, la listériose, maladie due à la bactérie pathogène </w:t>
      </w:r>
      <w:r w:rsidRPr="009B0706">
        <w:rPr>
          <w:rFonts w:eastAsia="Calibri"/>
          <w:bCs/>
          <w:i/>
          <w:color w:val="000000"/>
          <w:kern w:val="24"/>
          <w:lang w:eastAsia="en-US"/>
        </w:rPr>
        <w:t xml:space="preserve">Listeria </w:t>
      </w:r>
      <w:proofErr w:type="spellStart"/>
      <w:r w:rsidRPr="009B0706">
        <w:rPr>
          <w:rFonts w:eastAsia="Calibri"/>
          <w:bCs/>
          <w:i/>
          <w:color w:val="000000"/>
          <w:kern w:val="24"/>
          <w:lang w:eastAsia="en-US"/>
        </w:rPr>
        <w:t>monocytogenes</w:t>
      </w:r>
      <w:proofErr w:type="spellEnd"/>
      <w:r w:rsidRPr="009B0706">
        <w:rPr>
          <w:rFonts w:eastAsia="Calibri"/>
          <w:bCs/>
          <w:color w:val="000000"/>
          <w:kern w:val="24"/>
          <w:lang w:eastAsia="en-US"/>
        </w:rPr>
        <w:t>, se situent au 5</w:t>
      </w:r>
      <w:r w:rsidRPr="009B0706">
        <w:rPr>
          <w:rFonts w:eastAsia="Calibri"/>
          <w:bCs/>
          <w:color w:val="000000"/>
          <w:kern w:val="24"/>
          <w:vertAlign w:val="superscript"/>
          <w:lang w:eastAsia="en-US"/>
        </w:rPr>
        <w:t>ème</w:t>
      </w:r>
      <w:r w:rsidRPr="009B0706">
        <w:rPr>
          <w:rFonts w:eastAsia="Calibri"/>
          <w:bCs/>
          <w:color w:val="000000"/>
          <w:kern w:val="24"/>
          <w:lang w:eastAsia="en-US"/>
        </w:rPr>
        <w:t xml:space="preserve"> rang en nombre de cas mais au 1</w:t>
      </w:r>
      <w:r w:rsidRPr="009B0706">
        <w:rPr>
          <w:rFonts w:eastAsia="Calibri"/>
          <w:bCs/>
          <w:color w:val="000000"/>
          <w:kern w:val="24"/>
          <w:vertAlign w:val="superscript"/>
          <w:lang w:eastAsia="en-US"/>
        </w:rPr>
        <w:t>er</w:t>
      </w:r>
      <w:r w:rsidRPr="009B0706">
        <w:rPr>
          <w:rFonts w:eastAsia="Calibri"/>
          <w:bCs/>
          <w:color w:val="000000"/>
          <w:kern w:val="24"/>
          <w:lang w:eastAsia="en-US"/>
        </w:rPr>
        <w:t xml:space="preserve"> rang en nombre de décès avec un taux de mortalité de 13,8 %. Les produits de la pêche prêt à consommer figurent au 3</w:t>
      </w:r>
      <w:r w:rsidRPr="009B0706">
        <w:rPr>
          <w:rFonts w:eastAsia="Calibri"/>
          <w:bCs/>
          <w:color w:val="000000"/>
          <w:kern w:val="24"/>
          <w:vertAlign w:val="superscript"/>
          <w:lang w:eastAsia="en-US"/>
        </w:rPr>
        <w:t>ème</w:t>
      </w:r>
      <w:r w:rsidRPr="009B0706">
        <w:rPr>
          <w:rFonts w:eastAsia="Calibri"/>
          <w:bCs/>
          <w:color w:val="000000"/>
          <w:kern w:val="24"/>
          <w:lang w:eastAsia="en-US"/>
        </w:rPr>
        <w:t xml:space="preserve"> rang des produits contaminés par ce pathogène, en Europe, avec 7% de prévalence (EFSA, 2018). </w:t>
      </w:r>
      <w:r w:rsidRPr="009B0706">
        <w:rPr>
          <w:noProof/>
        </w:rPr>
        <w:t xml:space="preserve">Selon le règlement (CE) n° 2073/2005 </w:t>
      </w:r>
      <w:r w:rsidRPr="009B0706">
        <w:rPr>
          <w:bCs/>
          <w:noProof/>
        </w:rPr>
        <w:t xml:space="preserve">concernant les « critères microbiologiques applicables aux denrées alimentaires » </w:t>
      </w:r>
      <w:r w:rsidRPr="009B0706">
        <w:rPr>
          <w:noProof/>
        </w:rPr>
        <w:t xml:space="preserve">le critère de sécurité concernant </w:t>
      </w:r>
      <w:r w:rsidRPr="009B0706">
        <w:rPr>
          <w:i/>
          <w:noProof/>
        </w:rPr>
        <w:t>L. monocytogenes</w:t>
      </w:r>
      <w:r w:rsidRPr="009B0706">
        <w:rPr>
          <w:noProof/>
        </w:rPr>
        <w:t xml:space="preserve"> dans les denrées prêtes à être consommées est applicable à la filière aquatique. Le critère à respecter est « absence de </w:t>
      </w:r>
      <w:r w:rsidRPr="009B0706">
        <w:rPr>
          <w:i/>
          <w:noProof/>
        </w:rPr>
        <w:t>L. monocytogenes</w:t>
      </w:r>
      <w:r w:rsidRPr="009B0706">
        <w:rPr>
          <w:noProof/>
        </w:rPr>
        <w:t xml:space="preserve"> dans 25g » en sortie de fabrication et de « 100 ufc/g pour les produits mis sur le marché ». De plus depuis fin 2018, la législation avec EGAlim impose la communication aux autorités du plan d’action corrective mis en place suite à la détection d’un lot dépassant les critères microbiologiques.</w:t>
      </w:r>
    </w:p>
    <w:p w14:paraId="7F866176" w14:textId="524C93C0" w:rsidR="009B0706" w:rsidRPr="009B0706" w:rsidRDefault="009B0706" w:rsidP="009B0706">
      <w:pPr>
        <w:rPr>
          <w:rFonts w:eastAsiaTheme="minorHAnsi"/>
          <w:lang w:eastAsia="en-US"/>
        </w:rPr>
      </w:pPr>
      <w:r w:rsidRPr="009B0706">
        <w:t xml:space="preserve">Malgré la prise de conscience des industriels et des gouvernements pour améliorer continuellement la sécurité sanitaire des produits de la pêche et de l’aquaculture, les épisodes de toxi-infections dues à des dangers microbiens comme </w:t>
      </w:r>
      <w:r w:rsidRPr="009B0706">
        <w:rPr>
          <w:i/>
        </w:rPr>
        <w:t xml:space="preserve">L. </w:t>
      </w:r>
      <w:proofErr w:type="spellStart"/>
      <w:r w:rsidRPr="009B0706">
        <w:rPr>
          <w:i/>
        </w:rPr>
        <w:t>monocytogenes</w:t>
      </w:r>
      <w:proofErr w:type="spellEnd"/>
      <w:r w:rsidRPr="009B0706">
        <w:t xml:space="preserve"> continuent à entrainer des coûts économiques non négligeables pour les entreprises et la société. Pour illustrer ce point, sur la période 2014-2016, pour les produits de la pêche, plus de 52 alertes </w:t>
      </w:r>
      <w:proofErr w:type="spellStart"/>
      <w:r w:rsidRPr="009B0706">
        <w:t>DGAl</w:t>
      </w:r>
      <w:proofErr w:type="spellEnd"/>
      <w:r w:rsidRPr="009B0706">
        <w:t xml:space="preserve"> au niveau national et 27 RASFF au niveau européen, ont été ouvertes par les autorités françaises. Chaque évènement de contamination, conduit à un retrait des produits contaminés de la distribution (coût indicatif 90 000 € par rappel, </w:t>
      </w:r>
      <w:proofErr w:type="spellStart"/>
      <w:r w:rsidRPr="009B0706">
        <w:t>Commeau</w:t>
      </w:r>
      <w:proofErr w:type="spellEnd"/>
      <w:r w:rsidRPr="009B0706">
        <w:t xml:space="preserve"> and Parent, 2015), la mise en place d’un plan de contrôle renforcé avec parfois un suivi par les contrôles officiels pour la libération des lots. Les conséquences attendues sont, la perte de confiance des consommateurs pour le producteur mais aussi pour la filière. L’arrêt partiel ou parfois définitif d’une entreprise lors de crises est un drame pour toute une filière. En France </w:t>
      </w:r>
      <w:r w:rsidRPr="009B0706">
        <w:rPr>
          <w:rFonts w:eastAsia="Calibri"/>
          <w:bCs/>
          <w:color w:val="000000"/>
          <w:kern w:val="24"/>
          <w:lang w:eastAsia="en-US"/>
        </w:rPr>
        <w:t>plus de quinze</w:t>
      </w:r>
      <w:r w:rsidRPr="009B0706">
        <w:rPr>
          <w:rFonts w:eastAsia="Calibri"/>
          <w:bCs/>
          <w:kern w:val="24"/>
          <w:lang w:eastAsia="en-US"/>
        </w:rPr>
        <w:t xml:space="preserve"> toxi-infections alimentaires collectives (TIAC) ont été associées à des produits de la mer sur les 30 dernières années (Bourdin, 2009). </w:t>
      </w:r>
      <w:r w:rsidRPr="009B0706">
        <w:t>En Europe, des</w:t>
      </w:r>
      <w:r w:rsidRPr="009B0706">
        <w:rPr>
          <w:rFonts w:eastAsiaTheme="minorHAnsi"/>
          <w:lang w:eastAsia="en-US"/>
        </w:rPr>
        <w:t xml:space="preserve"> TIAC liées à la consommation de produits de la mer ont été </w:t>
      </w:r>
      <w:r w:rsidRPr="009B0706">
        <w:t>régulièrement reportées : entre 2007 et 2010 suite à</w:t>
      </w:r>
      <w:r w:rsidRPr="009B0706">
        <w:rPr>
          <w:rFonts w:eastAsiaTheme="minorHAnsi"/>
          <w:lang w:eastAsia="en-US"/>
        </w:rPr>
        <w:t xml:space="preserve"> la consommation de chaire de crabe (Nielsen et al., 2017), entre 2013 et 2015 suite à la consommation de poisson fumé au Danemark (</w:t>
      </w:r>
      <w:proofErr w:type="spellStart"/>
      <w:r w:rsidRPr="009B0706">
        <w:rPr>
          <w:rFonts w:eastAsiaTheme="minorHAnsi"/>
          <w:lang w:eastAsia="en-US"/>
        </w:rPr>
        <w:t>Gillesberg</w:t>
      </w:r>
      <w:proofErr w:type="spellEnd"/>
      <w:r w:rsidRPr="009B0706">
        <w:rPr>
          <w:rFonts w:eastAsiaTheme="minorHAnsi"/>
          <w:lang w:eastAsia="en-US"/>
        </w:rPr>
        <w:t xml:space="preserve"> </w:t>
      </w:r>
      <w:proofErr w:type="spellStart"/>
      <w:r w:rsidRPr="009B0706">
        <w:rPr>
          <w:rFonts w:eastAsiaTheme="minorHAnsi"/>
          <w:lang w:eastAsia="en-US"/>
        </w:rPr>
        <w:t>Lassen</w:t>
      </w:r>
      <w:proofErr w:type="spellEnd"/>
      <w:r w:rsidRPr="009B0706">
        <w:rPr>
          <w:rFonts w:eastAsiaTheme="minorHAnsi"/>
          <w:lang w:eastAsia="en-US"/>
        </w:rPr>
        <w:t xml:space="preserve"> et al., 2016), entre 2015 et 2017 suite à la consommation de poisson fumé</w:t>
      </w:r>
      <w:r w:rsidRPr="009B0706">
        <w:t xml:space="preserve"> </w:t>
      </w:r>
      <w:r w:rsidRPr="009B0706">
        <w:rPr>
          <w:rFonts w:eastAsiaTheme="minorHAnsi"/>
          <w:lang w:eastAsia="en-US"/>
        </w:rPr>
        <w:t>au Danemark et en France</w:t>
      </w:r>
      <w:r w:rsidRPr="009B0706">
        <w:t xml:space="preserve"> (</w:t>
      </w:r>
      <w:proofErr w:type="spellStart"/>
      <w:r w:rsidRPr="009B0706">
        <w:t>Schjørring</w:t>
      </w:r>
      <w:proofErr w:type="spellEnd"/>
      <w:r w:rsidRPr="009B0706">
        <w:t xml:space="preserve"> et al., 2017), en 2018 dans </w:t>
      </w:r>
      <w:r w:rsidRPr="009B0706">
        <w:rPr>
          <w:rFonts w:eastAsiaTheme="minorHAnsi"/>
          <w:lang w:eastAsia="en-US"/>
        </w:rPr>
        <w:t>plusieurs pays Européens</w:t>
      </w:r>
      <w:r w:rsidRPr="009B0706">
        <w:t xml:space="preserve"> suite à la consommation de poisson fumé produit</w:t>
      </w:r>
      <w:r w:rsidRPr="009B0706">
        <w:rPr>
          <w:rFonts w:eastAsiaTheme="minorHAnsi"/>
          <w:lang w:eastAsia="en-US"/>
        </w:rPr>
        <w:t xml:space="preserve"> en Pologne (EFSA, 2018) et entre 2018 et 2019 liée à la </w:t>
      </w:r>
      <w:r w:rsidRPr="009B0706">
        <w:rPr>
          <w:rFonts w:eastAsiaTheme="minorHAnsi"/>
          <w:lang w:eastAsia="en-US"/>
        </w:rPr>
        <w:lastRenderedPageBreak/>
        <w:t xml:space="preserve">consommation de poisson mariné en Norvège (FSN, 2019). </w:t>
      </w:r>
      <w:r w:rsidRPr="00D00CD3">
        <w:rPr>
          <w:snapToGrid w:val="0"/>
        </w:rPr>
        <w:t>Au premier semestre 2020, aux Pays-Bas, six personnes ont été hospitalisées avec deux décès suite à la consommation de filets de truite fumée et une autre personne décédée mais sans information sur les causes du décès</w:t>
      </w:r>
      <w:r>
        <w:rPr>
          <w:snapToGrid w:val="0"/>
        </w:rPr>
        <w:t xml:space="preserve"> </w:t>
      </w:r>
      <w:r>
        <w:rPr>
          <w:snapToGrid w:val="0"/>
        </w:rPr>
        <w:fldChar w:fldCharType="begin"/>
      </w:r>
      <w:r>
        <w:rPr>
          <w:snapToGrid w:val="0"/>
        </w:rPr>
        <w:instrText xml:space="preserve"> ADDIN EN.CITE &lt;EndNote&gt;&lt;Cite&gt;&lt;Author&gt;Whitworth&lt;/Author&gt;&lt;Year&gt;2020&lt;/Year&gt;&lt;RecNum&gt;1253&lt;/RecNum&gt;&lt;DisplayText&gt;(Whitworth, 2020)&lt;/DisplayText&gt;&lt;record&gt;&lt;rec-number&gt;1253&lt;/rec-number&gt;&lt;foreign-keys&gt;&lt;key app="EN" db-id="xrawss2d999aevez25svdvwj909sxsvw00x2" timestamp="1619181700"&gt;1253&lt;/key&gt;&lt;/foreign-keys&gt;&lt;ref-type name="Web Page"&gt;12&lt;/ref-type&gt;&lt;contributors&gt;&lt;authors&gt;&lt;author&gt;Whitworth, J&lt;/author&gt;&lt;/authors&gt;&lt;/contributors&gt;&lt;titles&gt;&lt;title&gt;Fatal Listeria outbreak linked to trout in the Netherlands &lt;/title&gt;&lt;/titles&gt;&lt;dates&gt;&lt;year&gt;2020&lt;/year&gt;&lt;/dates&gt;&lt;urls&gt;&lt;related-urls&gt;&lt;url&gt;https://www.foodsafetynews.com/2020/07/fatal-listeria-outbreak-linked-to-trout-in-the-netherlands&lt;/url&gt;&lt;/related-urls&gt;&lt;/urls&gt;&lt;/record&gt;&lt;/Cite&gt;&lt;/EndNote&gt;</w:instrText>
      </w:r>
      <w:r>
        <w:rPr>
          <w:snapToGrid w:val="0"/>
        </w:rPr>
        <w:fldChar w:fldCharType="separate"/>
      </w:r>
      <w:r>
        <w:rPr>
          <w:noProof/>
          <w:snapToGrid w:val="0"/>
        </w:rPr>
        <w:t>(Whitworth, 2020)</w:t>
      </w:r>
      <w:r>
        <w:rPr>
          <w:snapToGrid w:val="0"/>
        </w:rPr>
        <w:fldChar w:fldCharType="end"/>
      </w:r>
      <w:r w:rsidRPr="00D00CD3">
        <w:rPr>
          <w:snapToGrid w:val="0"/>
        </w:rPr>
        <w:t>. Au second semestre 2020, deux cas de listérioses déclarés en Autriche ont été ensuite raccordés à d’autres cas au Danemark (1 cas) et en Allemagne (30 cas)</w:t>
      </w:r>
      <w:r>
        <w:rPr>
          <w:snapToGrid w:val="0"/>
        </w:rPr>
        <w:t xml:space="preserve"> </w:t>
      </w:r>
      <w:r>
        <w:rPr>
          <w:snapToGrid w:val="0"/>
        </w:rPr>
        <w:fldChar w:fldCharType="begin"/>
      </w:r>
      <w:r>
        <w:rPr>
          <w:snapToGrid w:val="0"/>
        </w:rPr>
        <w:instrText xml:space="preserve"> ADDIN EN.CITE &lt;EndNote&gt;&lt;Cite&gt;&lt;Author&gt;Rasff&lt;/Author&gt;&lt;Year&gt;2020&lt;/Year&gt;&lt;RecNum&gt;1255&lt;/RecNum&gt;&lt;DisplayText&gt;(Rasff, 2020, Whitworth, 2020)&lt;/DisplayText&gt;&lt;record&gt;&lt;rec-number&gt;1255&lt;/rec-number&gt;&lt;foreign-keys&gt;&lt;key app="EN" db-id="xrawss2d999aevez25svdvwj909sxsvw00x2" timestamp="1619181923"&gt;1255&lt;/key&gt;&lt;/foreign-keys&gt;&lt;ref-type name="Web Page"&gt;12&lt;/ref-type&gt;&lt;contributors&gt;&lt;authors&gt;&lt;author&gt;Rasff&lt;/author&gt;&lt;/authors&gt;&lt;/contributors&gt;&lt;titles&gt;&lt;title&gt;Notification details - 2020.5472. Listeria monocytogenes (68000 CFU/g) in chilled smoked trout fillet from Denmark &lt;/title&gt;&lt;/titles&gt;&lt;dates&gt;&lt;year&gt;2020&lt;/year&gt;&lt;/dates&gt;&lt;urls&gt;&lt;related-urls&gt;&lt;url&gt;https://webgate.ec.europa.eu/rasff-window/portal/?event=notificationDetail&amp;amp;NOTIF_REFERENCE=2020.5472&lt;/url&gt;&lt;/related-urls&gt;&lt;/urls&gt;&lt;/record&gt;&lt;/Cite&gt;&lt;Cite&gt;&lt;Author&gt;Whitworth&lt;/Author&gt;&lt;Year&gt;2020&lt;/Year&gt;&lt;RecNum&gt;1252&lt;/RecNum&gt;&lt;record&gt;&lt;rec-number&gt;1252&lt;/rec-number&gt;&lt;foreign-keys&gt;&lt;key app="EN" db-id="xrawss2d999aevez25svdvwj909sxsvw00x2" timestamp="1619181614"&gt;1252&lt;/key&gt;&lt;/foreign-keys&gt;&lt;ref-type name="Web Page"&gt;12&lt;/ref-type&gt;&lt;contributors&gt;&lt;authors&gt;&lt;author&gt;Whitworth, J&lt;/author&gt;&lt;/authors&gt;&lt;/contributors&gt;&lt;titles&gt;&lt;title&gt;Germany hit hardest by current Listeria outbreak across Europe&lt;/title&gt;&lt;/titles&gt;&lt;dates&gt;&lt;year&gt;2020&lt;/year&gt;&lt;/dates&gt;&lt;urls&gt;&lt;related-urls&gt;&lt;url&gt;https://www.foodsafetynews.com/2020/12/germany-hit-hardest-by-current-listeria-outbreak-across-europe/&lt;/url&gt;&lt;/related-urls&gt;&lt;/urls&gt;&lt;/record&gt;&lt;/Cite&gt;&lt;Cite&gt;&lt;Author&gt;Whitworth&lt;/Author&gt;&lt;Year&gt;2020&lt;/Year&gt;&lt;RecNum&gt;1252&lt;/RecNum&gt;&lt;record&gt;&lt;rec-number&gt;1252&lt;/rec-number&gt;&lt;foreign-keys&gt;&lt;key app="EN" db-id="xrawss2d999aevez25svdvwj909sxsvw00x2" timestamp="1619181614"&gt;1252&lt;/key&gt;&lt;/foreign-keys&gt;&lt;ref-type name="Web Page"&gt;12&lt;/ref-type&gt;&lt;contributors&gt;&lt;authors&gt;&lt;author&gt;Whitworth, J&lt;/author&gt;&lt;/authors&gt;&lt;/contributors&gt;&lt;titles&gt;&lt;title&gt;Germany hit hardest by current Listeria outbreak across Europe&lt;/title&gt;&lt;/titles&gt;&lt;dates&gt;&lt;year&gt;2020&lt;/year&gt;&lt;/dates&gt;&lt;urls&gt;&lt;related-urls&gt;&lt;url&gt;https://www.foodsafetynews.com/2020/12/germany-hit-hardest-by-current-listeria-outbreak-across-europe/&lt;/url&gt;&lt;/related-urls&gt;&lt;/urls&gt;&lt;/record&gt;&lt;/Cite&gt;&lt;/EndNote&gt;</w:instrText>
      </w:r>
      <w:r>
        <w:rPr>
          <w:snapToGrid w:val="0"/>
        </w:rPr>
        <w:fldChar w:fldCharType="separate"/>
      </w:r>
      <w:r>
        <w:rPr>
          <w:noProof/>
          <w:snapToGrid w:val="0"/>
        </w:rPr>
        <w:t>(Rasff, 2020, Whitworth, 2020)</w:t>
      </w:r>
      <w:r>
        <w:rPr>
          <w:snapToGrid w:val="0"/>
        </w:rPr>
        <w:fldChar w:fldCharType="end"/>
      </w:r>
      <w:r>
        <w:rPr>
          <w:snapToGrid w:val="0"/>
        </w:rPr>
        <w:t xml:space="preserve">. </w:t>
      </w:r>
      <w:r w:rsidRPr="009B0706">
        <w:rPr>
          <w:rFonts w:eastAsiaTheme="minorHAnsi"/>
          <w:lang w:eastAsia="en-US"/>
        </w:rPr>
        <w:t>Le coût sociétal d’une épidémie de ce type est très élevé, une étude Canadienne récente a établi le coût de l’épidémie de Listériose de grande ampleur survenue en 2008 liée à la consommation de produits prêt à consommer (57 cas, 24 décès), à 242 millions de dollars canadiens (</w:t>
      </w:r>
      <w:proofErr w:type="spellStart"/>
      <w:r w:rsidRPr="009B0706">
        <w:rPr>
          <w:rFonts w:eastAsiaTheme="minorHAnsi"/>
          <w:lang w:eastAsia="en-US"/>
        </w:rPr>
        <w:t>approx</w:t>
      </w:r>
      <w:proofErr w:type="spellEnd"/>
      <w:r w:rsidRPr="009B0706">
        <w:rPr>
          <w:rFonts w:eastAsiaTheme="minorHAnsi"/>
          <w:lang w:eastAsia="en-US"/>
        </w:rPr>
        <w:t>. 160 M €), ce calcul selon les auteurs est sous-estimé en particulier pour l’évaluation des coûts pour l’industriel (Thomas et al., 2015).</w:t>
      </w:r>
    </w:p>
    <w:p w14:paraId="38919E97" w14:textId="3EE2B37A" w:rsidR="00E861AE" w:rsidRDefault="009B0706" w:rsidP="00E861AE">
      <w:pPr>
        <w:autoSpaceDE w:val="0"/>
        <w:autoSpaceDN w:val="0"/>
        <w:adjustRightInd w:val="0"/>
      </w:pPr>
      <w:r w:rsidRPr="009B0706">
        <w:t xml:space="preserve">Depuis quelques années, les méthodes de séquençage génomique </w:t>
      </w:r>
      <w:proofErr w:type="spellStart"/>
      <w:r w:rsidRPr="009B0706">
        <w:t>core</w:t>
      </w:r>
      <w:proofErr w:type="spellEnd"/>
      <w:r w:rsidRPr="009B0706">
        <w:t xml:space="preserve"> </w:t>
      </w:r>
      <w:proofErr w:type="spellStart"/>
      <w:r w:rsidRPr="009B0706">
        <w:t>genome</w:t>
      </w:r>
      <w:proofErr w:type="spellEnd"/>
      <w:r w:rsidRPr="009B0706">
        <w:t xml:space="preserve"> MLST (Moura et al., 2017, </w:t>
      </w:r>
      <w:proofErr w:type="spellStart"/>
      <w:r w:rsidRPr="009B0706">
        <w:t>Ruppitsch</w:t>
      </w:r>
      <w:proofErr w:type="spellEnd"/>
      <w:r w:rsidRPr="009B0706">
        <w:t xml:space="preserve"> et al. 2015) ou </w:t>
      </w:r>
      <w:proofErr w:type="spellStart"/>
      <w:r w:rsidRPr="009B0706">
        <w:t>core</w:t>
      </w:r>
      <w:proofErr w:type="spellEnd"/>
      <w:r w:rsidRPr="009B0706">
        <w:t xml:space="preserve"> </w:t>
      </w:r>
      <w:proofErr w:type="spellStart"/>
      <w:r w:rsidRPr="009B0706">
        <w:t>genome</w:t>
      </w:r>
      <w:proofErr w:type="spellEnd"/>
      <w:r w:rsidRPr="009B0706">
        <w:t xml:space="preserve"> Single </w:t>
      </w:r>
      <w:proofErr w:type="spellStart"/>
      <w:r w:rsidRPr="009B0706">
        <w:t>Nucleotide</w:t>
      </w:r>
      <w:proofErr w:type="spellEnd"/>
      <w:r w:rsidRPr="009B0706">
        <w:t xml:space="preserve"> </w:t>
      </w:r>
      <w:proofErr w:type="spellStart"/>
      <w:r w:rsidRPr="009B0706">
        <w:t>polymorphism</w:t>
      </w:r>
      <w:proofErr w:type="spellEnd"/>
      <w:r w:rsidRPr="009B0706">
        <w:t xml:space="preserve"> (SNP) ont été utilisées au niveau Européen pour l’investigation des TIAC (EFSA, 2018).</w:t>
      </w:r>
      <w:r w:rsidR="00E861AE">
        <w:t xml:space="preserve"> </w:t>
      </w:r>
      <w:r w:rsidR="00E861AE" w:rsidRPr="00E861AE">
        <w:t xml:space="preserve">Il s’agit d’une technique qui va suivre des locus spécifiques sur 7 gènes de ménage de </w:t>
      </w:r>
      <w:r w:rsidR="00E861AE" w:rsidRPr="00E861AE">
        <w:rPr>
          <w:i/>
        </w:rPr>
        <w:t xml:space="preserve">L. </w:t>
      </w:r>
      <w:proofErr w:type="spellStart"/>
      <w:r w:rsidR="00E861AE" w:rsidRPr="00E861AE">
        <w:rPr>
          <w:i/>
        </w:rPr>
        <w:t>monocytogenes</w:t>
      </w:r>
      <w:proofErr w:type="spellEnd"/>
      <w:r w:rsidR="00E861AE" w:rsidRPr="00E861AE">
        <w:t>. Ces séquences vont pouvoir être différente</w:t>
      </w:r>
      <w:r w:rsidR="00E861AE">
        <w:t>s</w:t>
      </w:r>
      <w:r w:rsidR="00E861AE" w:rsidRPr="00E861AE">
        <w:t xml:space="preserve"> uniquement par une mutation et à chaque type de séquences, le MLST va attribuer un numéro allélique unique suivant une nomenclature internationale</w:t>
      </w:r>
      <w:r w:rsidR="00E861AE">
        <w:t xml:space="preserve">. </w:t>
      </w:r>
      <w:r w:rsidR="00E861AE" w:rsidRPr="00E861AE">
        <w:t>Donc du coup à 7 séquences, on peut attribuer 7 numéros</w:t>
      </w:r>
      <w:r w:rsidR="00E861AE">
        <w:t>. Et ces 7 numéros associés donnent ce qu’on appelle un « </w:t>
      </w:r>
      <w:proofErr w:type="spellStart"/>
      <w:r w:rsidR="00E861AE">
        <w:t>sequence</w:t>
      </w:r>
      <w:proofErr w:type="spellEnd"/>
      <w:r w:rsidR="00E861AE">
        <w:t xml:space="preserve"> type » ou ST qui est un numéro unique. </w:t>
      </w:r>
    </w:p>
    <w:p w14:paraId="457DD275" w14:textId="2CCF47E2" w:rsidR="00E861AE" w:rsidRDefault="00E861AE" w:rsidP="00E861AE">
      <w:pPr>
        <w:autoSpaceDE w:val="0"/>
        <w:autoSpaceDN w:val="0"/>
        <w:adjustRightInd w:val="0"/>
      </w:pPr>
      <w:r>
        <w:t xml:space="preserve">Ensuite il y a le complexe clonal (CC) qui est l’association de plusieurs ST qui partagent tous 6 numéros alléliques en commun. Le CC permet d’avoir une meilleure vision phylogénétique de l’espèce. </w:t>
      </w:r>
    </w:p>
    <w:p w14:paraId="67A97E40" w14:textId="2307A761" w:rsidR="002F2638" w:rsidRDefault="009B0706" w:rsidP="00E861AE">
      <w:pPr>
        <w:autoSpaceDE w:val="0"/>
        <w:autoSpaceDN w:val="0"/>
        <w:adjustRightInd w:val="0"/>
      </w:pPr>
      <w:r w:rsidRPr="009B0706">
        <w:t xml:space="preserve">Ces méthodes basées sur le séquençage du génome complet décuplent les capacités d’identification des sources de contamination et promettent une augmentation de la détection de la source des cas humains. </w:t>
      </w:r>
      <w:r w:rsidR="002F2638" w:rsidRPr="009B0706">
        <w:t xml:space="preserve">Une étude récente a montré que la virulence d’isolats de </w:t>
      </w:r>
      <w:r w:rsidR="002F2638" w:rsidRPr="009B0706">
        <w:rPr>
          <w:i/>
        </w:rPr>
        <w:t xml:space="preserve">L. </w:t>
      </w:r>
      <w:proofErr w:type="spellStart"/>
      <w:r w:rsidR="002F2638" w:rsidRPr="009B0706">
        <w:rPr>
          <w:i/>
        </w:rPr>
        <w:t>monocytogenes</w:t>
      </w:r>
      <w:proofErr w:type="spellEnd"/>
      <w:r w:rsidR="002F2638" w:rsidRPr="009B0706">
        <w:rPr>
          <w:i/>
        </w:rPr>
        <w:t xml:space="preserve"> </w:t>
      </w:r>
      <w:r w:rsidR="002F2638" w:rsidRPr="009B0706">
        <w:t xml:space="preserve">était liée aux groupes génétiques d’appartenance des souches appelés complexe clonal (Maury et al., 2018). Ces complexes clonaux (CC) sont déterminés suivant la méthode de « Multi-locus </w:t>
      </w:r>
      <w:proofErr w:type="spellStart"/>
      <w:r w:rsidR="002F2638" w:rsidRPr="009B0706">
        <w:t>sequence</w:t>
      </w:r>
      <w:proofErr w:type="spellEnd"/>
      <w:r w:rsidR="002F2638" w:rsidRPr="009B0706">
        <w:t xml:space="preserve"> </w:t>
      </w:r>
      <w:proofErr w:type="spellStart"/>
      <w:r w:rsidR="002F2638" w:rsidRPr="009B0706">
        <w:t>typing</w:t>
      </w:r>
      <w:proofErr w:type="spellEnd"/>
      <w:r w:rsidR="002F2638" w:rsidRPr="009B0706">
        <w:t> » (MLST) (</w:t>
      </w:r>
      <w:proofErr w:type="spellStart"/>
      <w:r w:rsidR="002F2638" w:rsidRPr="009B0706">
        <w:t>Ragon</w:t>
      </w:r>
      <w:proofErr w:type="spellEnd"/>
      <w:r w:rsidR="002F2638" w:rsidRPr="009B0706">
        <w:t xml:space="preserve"> et al., 2008).</w:t>
      </w:r>
      <w:r w:rsidR="002F2638" w:rsidRPr="009B0706">
        <w:rPr>
          <w:snapToGrid w:val="0"/>
        </w:rPr>
        <w:t xml:space="preserve"> </w:t>
      </w:r>
    </w:p>
    <w:p w14:paraId="6155E2ED" w14:textId="3F912176" w:rsidR="009B0706" w:rsidRPr="009B0706" w:rsidRDefault="009B0706" w:rsidP="009B0706">
      <w:pPr>
        <w:rPr>
          <w:rFonts w:eastAsia="Calibri"/>
          <w:bCs/>
          <w:color w:val="000000"/>
          <w:kern w:val="24"/>
          <w:lang w:eastAsia="en-US"/>
        </w:rPr>
      </w:pPr>
      <w:r>
        <w:t>Par exemple, e</w:t>
      </w:r>
      <w:r w:rsidRPr="00D00CD3">
        <w:rPr>
          <w:snapToGrid w:val="0"/>
        </w:rPr>
        <w:t>n 2017, le Danemark a rapporté un premier cluster de cas de listérioses suite à la consommation de saumon fumé produit en Pologne</w:t>
      </w:r>
      <w:r>
        <w:rPr>
          <w:snapToGrid w:val="0"/>
        </w:rPr>
        <w:t xml:space="preserve"> </w:t>
      </w:r>
      <w:r>
        <w:rPr>
          <w:snapToGrid w:val="0"/>
        </w:rPr>
        <w:fldChar w:fldCharType="begin"/>
      </w:r>
      <w:r>
        <w:rPr>
          <w:snapToGrid w:val="0"/>
        </w:rPr>
        <w:instrText xml:space="preserve"> ADDIN EN.CITE &lt;EndNote&gt;&lt;Cite&gt;&lt;Author&gt;EFSA&lt;/Author&gt;&lt;Year&gt;2019&lt;/Year&gt;&lt;RecNum&gt;1249&lt;/RecNum&gt;&lt;DisplayText&gt;(EFSA, 2019)&lt;/DisplayText&gt;&lt;record&gt;&lt;rec-number&gt;1249&lt;/rec-number&gt;&lt;foreign-keys&gt;&lt;key app="EN" db-id="xrawss2d999aevez25svdvwj909sxsvw00x2" timestamp="1589098260"&gt;1249&lt;/key&gt;&lt;/foreign-keys&gt;&lt;ref-type name="Journal Article"&gt;17&lt;/ref-type&gt;&lt;contributors&gt;&lt;authors&gt;&lt;author&gt;EFSA&lt;/author&gt;&lt;/authors&gt;&lt;/contributors&gt;&lt;titles&gt;&lt;title&gt;Multi‐country outbreak of Listeria monocytogenes clonal complex 8 infections linked to consumption of cold‐smoked fish products&lt;/title&gt;&lt;secondary-title&gt;EFSA Supporting Publications&lt;/secondary-title&gt;&lt;/titles&gt;&lt;periodical&gt;&lt;full-title&gt;EFSA Supporting Publications&lt;/full-title&gt;&lt;/periodical&gt;&lt;pages&gt;1665E&lt;/pages&gt;&lt;volume&gt;16&lt;/volume&gt;&lt;number&gt;6&lt;/number&gt;&lt;dates&gt;&lt;year&gt;2019&lt;/year&gt;&lt;/dates&gt;&lt;isbn&gt;2397-8325&lt;/isbn&gt;&lt;urls&gt;&lt;/urls&gt;&lt;/record&gt;&lt;/Cite&gt;&lt;/EndNote&gt;</w:instrText>
      </w:r>
      <w:r>
        <w:rPr>
          <w:snapToGrid w:val="0"/>
        </w:rPr>
        <w:fldChar w:fldCharType="separate"/>
      </w:r>
      <w:r>
        <w:rPr>
          <w:noProof/>
          <w:snapToGrid w:val="0"/>
        </w:rPr>
        <w:t>(EFSA, 2019)</w:t>
      </w:r>
      <w:r>
        <w:rPr>
          <w:snapToGrid w:val="0"/>
        </w:rPr>
        <w:fldChar w:fldCharType="end"/>
      </w:r>
      <w:r w:rsidRPr="00D00CD3">
        <w:rPr>
          <w:snapToGrid w:val="0"/>
        </w:rPr>
        <w:t>. D’autres cas de listérioses ont été également décrits dans d’autres pays européens (Allemagne et France) avec le même produit ce qui a montré une épidémie de listérioses multi-pays avec un clone commun de séquence typ</w:t>
      </w:r>
      <w:r>
        <w:rPr>
          <w:snapToGrid w:val="0"/>
        </w:rPr>
        <w:t>e</w:t>
      </w:r>
      <w:r w:rsidR="002F2638">
        <w:rPr>
          <w:snapToGrid w:val="0"/>
        </w:rPr>
        <w:t xml:space="preserve"> ou</w:t>
      </w:r>
      <w:r w:rsidRPr="00D00CD3">
        <w:rPr>
          <w:snapToGrid w:val="0"/>
        </w:rPr>
        <w:t xml:space="preserve"> </w:t>
      </w:r>
      <w:r w:rsidR="002F2638" w:rsidRPr="00D00CD3">
        <w:rPr>
          <w:snapToGrid w:val="0"/>
        </w:rPr>
        <w:t xml:space="preserve">ST </w:t>
      </w:r>
      <w:r w:rsidRPr="00D00CD3">
        <w:rPr>
          <w:snapToGrid w:val="0"/>
        </w:rPr>
        <w:t>8 (12 cas humains à l’échelle européenne).</w:t>
      </w:r>
      <w:r>
        <w:rPr>
          <w:snapToGrid w:val="0"/>
        </w:rPr>
        <w:t xml:space="preserve"> Une autre</w:t>
      </w:r>
      <w:r w:rsidRPr="00D00CD3">
        <w:rPr>
          <w:snapToGrid w:val="0"/>
        </w:rPr>
        <w:t xml:space="preserve"> épidémie a </w:t>
      </w:r>
      <w:r>
        <w:rPr>
          <w:snapToGrid w:val="0"/>
        </w:rPr>
        <w:t>été mise</w:t>
      </w:r>
      <w:r w:rsidRPr="00D00CD3">
        <w:rPr>
          <w:snapToGrid w:val="0"/>
        </w:rPr>
        <w:t xml:space="preserve"> en évidence avec 22 cas humains dans 5 pays depuis 2014 (dont 15% sont décédés) incriminant du saumon fumé produit en Estonie avec une souche commune de profil ST 1247, CC 8</w:t>
      </w:r>
      <w:r>
        <w:rPr>
          <w:snapToGrid w:val="0"/>
        </w:rPr>
        <w:t xml:space="preserve"> </w:t>
      </w:r>
      <w:r>
        <w:rPr>
          <w:snapToGrid w:val="0"/>
        </w:rPr>
        <w:fldChar w:fldCharType="begin"/>
      </w:r>
      <w:r>
        <w:rPr>
          <w:snapToGrid w:val="0"/>
        </w:rPr>
        <w:instrText xml:space="preserve"> ADDIN EN.CITE &lt;EndNote&gt;&lt;Cite&gt;&lt;Author&gt;EFSA&lt;/Author&gt;&lt;Year&gt;2019&lt;/Year&gt;&lt;RecNum&gt;1249&lt;/RecNum&gt;&lt;DisplayText&gt;(EFSA, 2019)&lt;/DisplayText&gt;&lt;record&gt;&lt;rec-number&gt;1249&lt;/rec-number&gt;&lt;foreign-keys&gt;&lt;key app="EN" db-id="xrawss2d999aevez25svdvwj909sxsvw00x2" timestamp="1589098260"&gt;1249&lt;/key&gt;&lt;/foreign-keys&gt;&lt;ref-type name="Journal Article"&gt;17&lt;/ref-type&gt;&lt;contributors&gt;&lt;authors&gt;&lt;author&gt;EFSA&lt;/author&gt;&lt;/authors&gt;&lt;/contributors&gt;&lt;titles&gt;&lt;title&gt;Multi‐country outbreak of Listeria monocytogenes clonal complex 8 infections linked to consumption of cold‐smoked fish products&lt;/title&gt;&lt;secondary-title&gt;EFSA Supporting Publications&lt;/secondary-title&gt;&lt;/titles&gt;&lt;periodical&gt;&lt;full-title&gt;EFSA Supporting Publications&lt;/full-title&gt;&lt;/periodical&gt;&lt;pages&gt;1665E&lt;/pages&gt;&lt;volume&gt;16&lt;/volume&gt;&lt;number&gt;6&lt;/number&gt;&lt;dates&gt;&lt;year&gt;2019&lt;/year&gt;&lt;/dates&gt;&lt;isbn&gt;2397-8325&lt;/isbn&gt;&lt;urls&gt;&lt;/urls&gt;&lt;/record&gt;&lt;/Cite&gt;&lt;/EndNote&gt;</w:instrText>
      </w:r>
      <w:r>
        <w:rPr>
          <w:snapToGrid w:val="0"/>
        </w:rPr>
        <w:fldChar w:fldCharType="separate"/>
      </w:r>
      <w:r>
        <w:rPr>
          <w:noProof/>
          <w:snapToGrid w:val="0"/>
        </w:rPr>
        <w:t>(EFSA, 2019)</w:t>
      </w:r>
      <w:r>
        <w:rPr>
          <w:snapToGrid w:val="0"/>
        </w:rPr>
        <w:fldChar w:fldCharType="end"/>
      </w:r>
      <w:r w:rsidRPr="00D00CD3">
        <w:rPr>
          <w:snapToGrid w:val="0"/>
        </w:rPr>
        <w:t>.</w:t>
      </w:r>
    </w:p>
    <w:p w14:paraId="51E1EF38" w14:textId="77777777" w:rsidR="0053611C" w:rsidRPr="0053611C" w:rsidRDefault="00D00CD3" w:rsidP="0053611C">
      <w:pPr>
        <w:autoSpaceDE w:val="0"/>
        <w:autoSpaceDN w:val="0"/>
        <w:adjustRightInd w:val="0"/>
        <w:rPr>
          <w:snapToGrid w:val="0"/>
        </w:rPr>
      </w:pPr>
      <w:r w:rsidRPr="00D00CD3">
        <w:rPr>
          <w:snapToGrid w:val="0"/>
        </w:rPr>
        <w:t xml:space="preserve">  </w:t>
      </w:r>
    </w:p>
    <w:p w14:paraId="63A30D36" w14:textId="4B6227C9" w:rsidR="0053611C" w:rsidRPr="0053611C" w:rsidRDefault="0053611C" w:rsidP="0053611C">
      <w:pPr>
        <w:autoSpaceDE w:val="0"/>
        <w:autoSpaceDN w:val="0"/>
        <w:adjustRightInd w:val="0"/>
        <w:rPr>
          <w:snapToGrid w:val="0"/>
        </w:rPr>
      </w:pPr>
      <w:r w:rsidRPr="0053611C">
        <w:rPr>
          <w:snapToGrid w:val="0"/>
        </w:rPr>
        <w:t xml:space="preserve">La méthode de référence de caractérisation des souches de </w:t>
      </w:r>
      <w:r w:rsidRPr="0053611C">
        <w:rPr>
          <w:i/>
          <w:snapToGrid w:val="0"/>
        </w:rPr>
        <w:t xml:space="preserve">L. </w:t>
      </w:r>
      <w:proofErr w:type="spellStart"/>
      <w:r w:rsidRPr="0053611C">
        <w:rPr>
          <w:i/>
          <w:snapToGrid w:val="0"/>
        </w:rPr>
        <w:t>monocytogenes</w:t>
      </w:r>
      <w:proofErr w:type="spellEnd"/>
      <w:r w:rsidRPr="0053611C">
        <w:rPr>
          <w:snapToGrid w:val="0"/>
        </w:rPr>
        <w:t xml:space="preserve"> lors d’épidémies et pour les entreprises a longtemps été la PFGE (électrophorèse en champ pulsé) du fait de son fort pouvoir discriminant et de la possibilité d’échanger des profils entre laboratoires. De ce fait, de grandes bases de </w:t>
      </w:r>
      <w:r w:rsidRPr="0053611C">
        <w:rPr>
          <w:snapToGrid w:val="0"/>
        </w:rPr>
        <w:lastRenderedPageBreak/>
        <w:t>données historiques de profils PFGE ont été constituées par les laboratoires et en particulier à l’ANSES dans le laboratoire de sécurité des aliments (</w:t>
      </w:r>
      <w:proofErr w:type="spellStart"/>
      <w:r w:rsidRPr="0053611C">
        <w:rPr>
          <w:snapToGrid w:val="0"/>
        </w:rPr>
        <w:t>LSAl</w:t>
      </w:r>
      <w:proofErr w:type="spellEnd"/>
      <w:r w:rsidRPr="0053611C">
        <w:rPr>
          <w:snapToGrid w:val="0"/>
        </w:rPr>
        <w:t xml:space="preserve">) sur le site de Boulogne sur Mer et de Maisons-Alfort. Cette méthode ne permet pas de structurer les populations du point de vue de leur phylogénie car elle ne permet pas de définir le lien génétique entre des souches ayant des profils PFGE différents. Depuis 2008, la méthode de MLST a été largement utilisée pour apporter une meilleure compréhension de la phylogénétique des souches. Cette méthode permet de comparer la distribution des </w:t>
      </w:r>
      <w:proofErr w:type="spellStart"/>
      <w:r w:rsidRPr="0053611C">
        <w:rPr>
          <w:snapToGrid w:val="0"/>
        </w:rPr>
        <w:t>CCs</w:t>
      </w:r>
      <w:proofErr w:type="spellEnd"/>
      <w:r w:rsidRPr="0053611C">
        <w:rPr>
          <w:snapToGrid w:val="0"/>
        </w:rPr>
        <w:t xml:space="preserve"> au niveau international sur la base d’une nomenclature uniforme et des bases de données librement accessibles via internet (https://bigsdb.pasteur.fr/listeria/listeria.html). Plusieurs études ont porté sur le typage d’isolats de </w:t>
      </w:r>
      <w:r w:rsidRPr="0053611C">
        <w:rPr>
          <w:i/>
          <w:snapToGrid w:val="0"/>
        </w:rPr>
        <w:t xml:space="preserve">L. </w:t>
      </w:r>
      <w:proofErr w:type="spellStart"/>
      <w:r w:rsidRPr="0053611C">
        <w:rPr>
          <w:i/>
          <w:snapToGrid w:val="0"/>
        </w:rPr>
        <w:t>monocytogenes</w:t>
      </w:r>
      <w:proofErr w:type="spellEnd"/>
      <w:r w:rsidRPr="0053611C">
        <w:rPr>
          <w:snapToGrid w:val="0"/>
        </w:rPr>
        <w:t xml:space="preserve"> par MLST et en parallèle typées par la méthode PFGE ce qui permet de faire des corrélations entre les deux types de données</w:t>
      </w:r>
      <w:r w:rsidR="00EF3600">
        <w:rPr>
          <w:snapToGrid w:val="0"/>
        </w:rPr>
        <w:t xml:space="preserve"> </w:t>
      </w:r>
      <w:r w:rsidR="008C7900">
        <w:rPr>
          <w:snapToGrid w:val="0"/>
        </w:rPr>
        <w:fldChar w:fldCharType="begin">
          <w:fldData xml:space="preserve">PEVuZE5vdGU+PENpdGU+PEF1dGhvcj5NYXVyeTwvQXV0aG9yPjxZZWFyPjIwMTY8L1llYXI+PFJl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</w:fldData>
        </w:fldChar>
      </w:r>
      <w:r w:rsidR="008C7900">
        <w:rPr>
          <w:snapToGrid w:val="0"/>
        </w:rPr>
        <w:instrText xml:space="preserve"> ADDIN EN.CITE </w:instrText>
      </w:r>
      <w:r w:rsidR="008C7900">
        <w:rPr>
          <w:snapToGrid w:val="0"/>
        </w:rPr>
        <w:fldChar w:fldCharType="begin">
          <w:fldData xml:space="preserve">PEVuZE5vdGU+PENpdGU+PEF1dGhvcj5NYXVyeTwvQXV0aG9yPjxZZWFyPjIwMTY8L1llYXI+PFJl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</w:fldData>
        </w:fldChar>
      </w:r>
      <w:r w:rsidR="008C7900">
        <w:rPr>
          <w:snapToGrid w:val="0"/>
        </w:rPr>
        <w:instrText xml:space="preserve"> ADDIN EN.CITE.DATA </w:instrText>
      </w:r>
      <w:r w:rsidR="008C7900">
        <w:rPr>
          <w:snapToGrid w:val="0"/>
        </w:rPr>
      </w:r>
      <w:r w:rsidR="008C7900">
        <w:rPr>
          <w:snapToGrid w:val="0"/>
        </w:rPr>
        <w:fldChar w:fldCharType="end"/>
      </w:r>
      <w:r w:rsidR="008C7900">
        <w:rPr>
          <w:snapToGrid w:val="0"/>
        </w:rPr>
      </w:r>
      <w:r w:rsidR="008C7900">
        <w:rPr>
          <w:snapToGrid w:val="0"/>
        </w:rPr>
        <w:fldChar w:fldCharType="separate"/>
      </w:r>
      <w:r w:rsidR="008C7900">
        <w:rPr>
          <w:noProof/>
          <w:snapToGrid w:val="0"/>
        </w:rPr>
        <w:t>(Maury</w:t>
      </w:r>
      <w:r w:rsidR="008C7900" w:rsidRPr="008C7900">
        <w:rPr>
          <w:i/>
          <w:noProof/>
          <w:snapToGrid w:val="0"/>
        </w:rPr>
        <w:t xml:space="preserve"> et al.</w:t>
      </w:r>
      <w:r w:rsidR="008C7900">
        <w:rPr>
          <w:noProof/>
          <w:snapToGrid w:val="0"/>
        </w:rPr>
        <w:t>, 2016, Félix</w:t>
      </w:r>
      <w:r w:rsidR="008C7900" w:rsidRPr="008C7900">
        <w:rPr>
          <w:i/>
          <w:noProof/>
          <w:snapToGrid w:val="0"/>
        </w:rPr>
        <w:t xml:space="preserve"> et al.</w:t>
      </w:r>
      <w:r w:rsidR="008C7900">
        <w:rPr>
          <w:noProof/>
          <w:snapToGrid w:val="0"/>
        </w:rPr>
        <w:t>, 2018)</w:t>
      </w:r>
      <w:r w:rsidR="008C7900">
        <w:rPr>
          <w:snapToGrid w:val="0"/>
        </w:rPr>
        <w:fldChar w:fldCharType="end"/>
      </w:r>
      <w:r w:rsidRPr="0053611C">
        <w:rPr>
          <w:snapToGrid w:val="0"/>
        </w:rPr>
        <w:t xml:space="preserve">. Contrairement à la méthode PFGE, l’association des souches à un CC permet de comparer les proportions de contamination des CC au sein d’une même filière, entre matières premières, ingrédients ou prélèvements d’environnement de fabrication. Elle permet également de comparer la proportion des </w:t>
      </w:r>
      <w:proofErr w:type="spellStart"/>
      <w:r w:rsidRPr="0053611C">
        <w:rPr>
          <w:snapToGrid w:val="0"/>
        </w:rPr>
        <w:t>CCs</w:t>
      </w:r>
      <w:proofErr w:type="spellEnd"/>
      <w:r w:rsidRPr="0053611C">
        <w:rPr>
          <w:snapToGrid w:val="0"/>
        </w:rPr>
        <w:t xml:space="preserve"> observés entre souches des différentes filières et/ ou isolées de cas cliniques. Les CC1, CC2, CC4, et CC6, qui ont été définis comme hyper-virulents, ont été fortement associés à des origines cliniques plutôt pour les infections du système nerveux et pour le fœtus alors que les CC9 et CC121, qui ont été déterminés comme hypo-virulents, ont été associés avec les patients ayant un système immunitaire déficient </w:t>
      </w:r>
      <w:r w:rsidR="00B63154">
        <w:rPr>
          <w:snapToGrid w:val="0"/>
        </w:rPr>
        <w:fldChar w:fldCharType="begin"/>
      </w:r>
      <w:r w:rsidR="00B63154">
        <w:rPr>
          <w:snapToGrid w:val="0"/>
        </w:rPr>
        <w:instrText xml:space="preserve"> ADDIN EN.CITE &lt;EndNote&gt;&lt;Cite&gt;&lt;Author&gt;Maury&lt;/Author&gt;&lt;Year&gt;2016&lt;/Year&gt;&lt;RecNum&gt;1286&lt;/RecNum&gt;&lt;DisplayText&gt;(Maury&lt;style face="italic"&gt; et al.&lt;/style&gt;, 2016)&lt;/DisplayText&gt;&lt;record&gt;&lt;rec-number&gt;1286&lt;/rec-number&gt;&lt;foreign-keys&gt;&lt;key app="EN" db-id="xrawss2d999aevez25svdvwj909sxsvw00x2" timestamp="1621414580"&gt;1286&lt;/key&gt;&lt;/foreign-keys&gt;&lt;ref-type name="Journal Article"&gt;17&lt;/ref-type&gt;&lt;contributors&gt;&lt;authors&gt;&lt;author&gt;Maury, Mylène M&lt;/author&gt;&lt;author&gt;Tsai, Yu-Huan&lt;/author&gt;&lt;author&gt;Charlier, Caroline&lt;/author&gt;&lt;author&gt;Touchon, Marie&lt;/author&gt;&lt;author&gt;Chenal-Francisque, Viviane&lt;/author&gt;&lt;author&gt;Leclercq, Alexandre&lt;/author&gt;&lt;author&gt;Criscuolo, Alexis&lt;/author&gt;&lt;author&gt;Gaultier, Charlotte&lt;/author&gt;&lt;author&gt;Roussel, Sophie&lt;/author&gt;&lt;author&gt;Brisabois, Anne&lt;/author&gt;&lt;/authors&gt;&lt;/contributors&gt;&lt;titles&gt;&lt;title&gt;Uncovering Listeria monocytogenes hypervirulence by harnessing its biodiversity&lt;/title&gt;&lt;secondary-title&gt;Nature genetics&lt;/secondary-title&gt;&lt;/titles&gt;&lt;periodical&gt;&lt;full-title&gt;Nature genetics&lt;/full-title&gt;&lt;/periodical&gt;&lt;pages&gt;308&lt;/pages&gt;&lt;volume&gt;48&lt;/volume&gt;&lt;number&gt;3&lt;/number&gt;&lt;dates&gt;&lt;year&gt;2016&lt;/year&gt;&lt;/dates&gt;&lt;isbn&gt;1546-1718&lt;/isbn&gt;&lt;urls&gt;&lt;/urls&gt;&lt;/record&gt;&lt;/Cite&gt;&lt;/EndNote&gt;</w:instrText>
      </w:r>
      <w:r w:rsidR="00B63154">
        <w:rPr>
          <w:snapToGrid w:val="0"/>
        </w:rPr>
        <w:fldChar w:fldCharType="separate"/>
      </w:r>
      <w:r w:rsidR="00B63154">
        <w:rPr>
          <w:noProof/>
          <w:snapToGrid w:val="0"/>
        </w:rPr>
        <w:t>(Maury</w:t>
      </w:r>
      <w:r w:rsidR="00B63154" w:rsidRPr="00B63154">
        <w:rPr>
          <w:i/>
          <w:noProof/>
          <w:snapToGrid w:val="0"/>
        </w:rPr>
        <w:t xml:space="preserve"> et al.</w:t>
      </w:r>
      <w:r w:rsidR="00B63154">
        <w:rPr>
          <w:noProof/>
          <w:snapToGrid w:val="0"/>
        </w:rPr>
        <w:t>, 2016)</w:t>
      </w:r>
      <w:r w:rsidR="00B63154">
        <w:rPr>
          <w:snapToGrid w:val="0"/>
        </w:rPr>
        <w:fldChar w:fldCharType="end"/>
      </w:r>
      <w:r w:rsidRPr="0053611C">
        <w:rPr>
          <w:snapToGrid w:val="0"/>
        </w:rPr>
        <w:t>. Dans la filière des produits de la pêche, le CC121 est prédominant dans une proportion plus importante que dans les autres filières</w:t>
      </w:r>
      <w:r w:rsidR="006C5F6A">
        <w:rPr>
          <w:snapToGrid w:val="0"/>
        </w:rPr>
        <w:t xml:space="preserve"> </w:t>
      </w:r>
      <w:r w:rsidR="006C5F6A">
        <w:rPr>
          <w:snapToGrid w:val="0"/>
        </w:rPr>
        <w:fldChar w:fldCharType="begin">
          <w:fldData xml:space="preserve">PEVuZE5vdGU+PENpdGU+PEF1dGhvcj5OaWVsc2VuPC9BdXRob3I+PFllYXI+MjAxNzwvWWVhcj48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</w:fldData>
        </w:fldChar>
      </w:r>
      <w:r w:rsidR="006C5F6A">
        <w:rPr>
          <w:snapToGrid w:val="0"/>
        </w:rPr>
        <w:instrText xml:space="preserve"> ADDIN EN.CITE </w:instrText>
      </w:r>
      <w:r w:rsidR="006C5F6A">
        <w:rPr>
          <w:snapToGrid w:val="0"/>
        </w:rPr>
        <w:fldChar w:fldCharType="begin">
          <w:fldData xml:space="preserve">PEVuZE5vdGU+PENpdGU+PEF1dGhvcj5OaWVsc2VuPC9BdXRob3I+PFllYXI+MjAxNzwvWWVhcj48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</w:fldData>
        </w:fldChar>
      </w:r>
      <w:r w:rsidR="006C5F6A">
        <w:rPr>
          <w:snapToGrid w:val="0"/>
        </w:rPr>
        <w:instrText xml:space="preserve"> ADDIN EN.CITE.DATA </w:instrText>
      </w:r>
      <w:r w:rsidR="006C5F6A">
        <w:rPr>
          <w:snapToGrid w:val="0"/>
        </w:rPr>
      </w:r>
      <w:r w:rsidR="006C5F6A">
        <w:rPr>
          <w:snapToGrid w:val="0"/>
        </w:rPr>
        <w:fldChar w:fldCharType="end"/>
      </w:r>
      <w:r w:rsidR="006C5F6A">
        <w:rPr>
          <w:snapToGrid w:val="0"/>
        </w:rPr>
      </w:r>
      <w:r w:rsidR="006C5F6A">
        <w:rPr>
          <w:snapToGrid w:val="0"/>
        </w:rPr>
        <w:fldChar w:fldCharType="separate"/>
      </w:r>
      <w:r w:rsidR="006C5F6A">
        <w:rPr>
          <w:noProof/>
          <w:snapToGrid w:val="0"/>
        </w:rPr>
        <w:t>(Nielsen</w:t>
      </w:r>
      <w:r w:rsidR="006C5F6A" w:rsidRPr="006C5F6A">
        <w:rPr>
          <w:i/>
          <w:noProof/>
          <w:snapToGrid w:val="0"/>
        </w:rPr>
        <w:t xml:space="preserve"> et al.</w:t>
      </w:r>
      <w:r w:rsidR="006C5F6A">
        <w:rPr>
          <w:noProof/>
          <w:snapToGrid w:val="0"/>
        </w:rPr>
        <w:t>, 2017, Félix</w:t>
      </w:r>
      <w:r w:rsidR="006C5F6A" w:rsidRPr="006C5F6A">
        <w:rPr>
          <w:i/>
          <w:noProof/>
          <w:snapToGrid w:val="0"/>
        </w:rPr>
        <w:t xml:space="preserve"> et al.</w:t>
      </w:r>
      <w:r w:rsidR="006C5F6A">
        <w:rPr>
          <w:noProof/>
          <w:snapToGrid w:val="0"/>
        </w:rPr>
        <w:t>, 2018)</w:t>
      </w:r>
      <w:r w:rsidR="006C5F6A">
        <w:rPr>
          <w:snapToGrid w:val="0"/>
        </w:rPr>
        <w:fldChar w:fldCharType="end"/>
      </w:r>
      <w:r w:rsidRPr="0053611C">
        <w:rPr>
          <w:snapToGrid w:val="0"/>
        </w:rPr>
        <w:t xml:space="preserve">. Toutefois toutes les épidémies reportées impliquant des produits de la pêche ont été liées à d’autres </w:t>
      </w:r>
      <w:proofErr w:type="spellStart"/>
      <w:r w:rsidRPr="0053611C">
        <w:rPr>
          <w:snapToGrid w:val="0"/>
        </w:rPr>
        <w:t>CCs</w:t>
      </w:r>
      <w:proofErr w:type="spellEnd"/>
      <w:r w:rsidRPr="0053611C">
        <w:rPr>
          <w:snapToGrid w:val="0"/>
        </w:rPr>
        <w:t xml:space="preserve"> comme les CC1</w:t>
      </w:r>
      <w:r w:rsidR="00B63154">
        <w:rPr>
          <w:snapToGrid w:val="0"/>
        </w:rPr>
        <w:t xml:space="preserve"> </w:t>
      </w:r>
      <w:r w:rsidR="00B63154">
        <w:rPr>
          <w:snapToGrid w:val="0"/>
        </w:rPr>
        <w:fldChar w:fldCharType="begin"/>
      </w:r>
      <w:r w:rsidR="00B63154">
        <w:rPr>
          <w:snapToGrid w:val="0"/>
        </w:rPr>
        <w:instrText xml:space="preserve"> ADDIN EN.CITE &lt;EndNote&gt;&lt;Cite&gt;&lt;Author&gt;Nielsen&lt;/Author&gt;&lt;Year&gt;2017&lt;/Year&gt;&lt;RecNum&gt;1288&lt;/RecNum&gt;&lt;DisplayText&gt;(Nielsen&lt;style face="italic"&gt; et al.&lt;/style&gt;, 2017)&lt;/DisplayText&gt;&lt;record&gt;&lt;rec-number&gt;1288&lt;/rec-number&gt;&lt;foreign-keys&gt;&lt;key app="EN" db-id="xrawss2d999aevez25svdvwj909sxsvw00x2" timestamp="1621414632"&gt;1288&lt;/key&gt;&lt;/foreign-keys&gt;&lt;ref-type name="Journal Article"&gt;17&lt;/ref-type&gt;&lt;contributors&gt;&lt;authors&gt;&lt;author&gt;Nielsen, Eva Møller&lt;/author&gt;&lt;author&gt;Björkman, Jonas T&lt;/author&gt;&lt;author&gt;Kiil, Kristoffer&lt;/author&gt;&lt;author&gt;Grant, Kathie&lt;/author&gt;&lt;author&gt;Dallman, Tim&lt;/author&gt;&lt;author&gt;Painset, Anaïs&lt;/author&gt;&lt;author&gt;Amar, Corinne&lt;/author&gt;&lt;author&gt;Roussel, Sophie&lt;/author&gt;&lt;author&gt;Guillier, Laurent&lt;/author&gt;&lt;author&gt;Félix, Benjamin&lt;/author&gt;&lt;/authors&gt;&lt;/contributors&gt;&lt;titles&gt;&lt;title&gt;Closing gaps for performing a risk assessment on Listeria monocytogenes in ready‐to‐eat (RTE) foods: activity 3, the comparison of isolates from different compartments along the food chain, and from humans using whole genome sequencing (WGS) analysis&lt;/title&gt;&lt;secondary-title&gt;EFSA Supporting Publications&lt;/secondary-title&gt;&lt;/titles&gt;&lt;periodical&gt;&lt;full-title&gt;EFSA Supporting Publications&lt;/full-title&gt;&lt;/periodical&gt;&lt;pages&gt;1151E&lt;/pages&gt;&lt;volume&gt;14&lt;/volume&gt;&lt;number&gt;2&lt;/number&gt;&lt;dates&gt;&lt;year&gt;2017&lt;/year&gt;&lt;/dates&gt;&lt;isbn&gt;2397-8325&lt;/isbn&gt;&lt;urls&gt;&lt;/urls&gt;&lt;/record&gt;&lt;/Cite&gt;&lt;/EndNote&gt;</w:instrText>
      </w:r>
      <w:r w:rsidR="00B63154">
        <w:rPr>
          <w:snapToGrid w:val="0"/>
        </w:rPr>
        <w:fldChar w:fldCharType="separate"/>
      </w:r>
      <w:r w:rsidR="00B63154">
        <w:rPr>
          <w:noProof/>
          <w:snapToGrid w:val="0"/>
        </w:rPr>
        <w:t>(Nielsen</w:t>
      </w:r>
      <w:r w:rsidR="00B63154" w:rsidRPr="00B63154">
        <w:rPr>
          <w:i/>
          <w:noProof/>
          <w:snapToGrid w:val="0"/>
        </w:rPr>
        <w:t xml:space="preserve"> et al.</w:t>
      </w:r>
      <w:r w:rsidR="00B63154">
        <w:rPr>
          <w:noProof/>
          <w:snapToGrid w:val="0"/>
        </w:rPr>
        <w:t>, 2017)</w:t>
      </w:r>
      <w:r w:rsidR="00B63154">
        <w:rPr>
          <w:snapToGrid w:val="0"/>
        </w:rPr>
        <w:fldChar w:fldCharType="end"/>
      </w:r>
      <w:r w:rsidRPr="0053611C">
        <w:rPr>
          <w:snapToGrid w:val="0"/>
        </w:rPr>
        <w:t xml:space="preserve">, CC89 </w:t>
      </w:r>
      <w:r w:rsidR="00B63154">
        <w:rPr>
          <w:snapToGrid w:val="0"/>
        </w:rPr>
        <w:fldChar w:fldCharType="begin"/>
      </w:r>
      <w:r w:rsidR="00B63154">
        <w:rPr>
          <w:snapToGrid w:val="0"/>
        </w:rPr>
        <w:instrText xml:space="preserve"> ADDIN EN.CITE &lt;EndNote&gt;&lt;Cite&gt;&lt;Author&gt;Lassen&lt;/Author&gt;&lt;Year&gt;2016&lt;/Year&gt;&lt;RecNum&gt;1294&lt;/RecNum&gt;&lt;DisplayText&gt;(Lassen&lt;style face="italic"&gt; et al.&lt;/style&gt;, 2016)&lt;/DisplayText&gt;&lt;record&gt;&lt;rec-number&gt;1294&lt;/rec-number&gt;&lt;foreign-keys&gt;&lt;key app="EN" db-id="xrawss2d999aevez25svdvwj909sxsvw00x2" timestamp="1621416227"&gt;1294&lt;/key&gt;&lt;/foreign-keys&gt;&lt;ref-type name="Journal Article"&gt;17&lt;/ref-type&gt;&lt;contributors&gt;&lt;authors&gt;&lt;author&gt;Lassen, S Gillesberg&lt;/author&gt;&lt;author&gt;Ethelberg, S&lt;/author&gt;&lt;author&gt;Björkman, JT&lt;/author&gt;&lt;author&gt;Jensen, Tenna&lt;/author&gt;&lt;author&gt;Sørensen, Gitte&lt;/author&gt;&lt;author&gt;Jensen, A Kvistholm&lt;/author&gt;&lt;author&gt;Müller, L&lt;/author&gt;&lt;author&gt;Nielsen, EM&lt;/author&gt;&lt;author&gt;Mølbak, K&lt;/author&gt;&lt;/authors&gt;&lt;/contributors&gt;&lt;titles&gt;&lt;title&gt;Two listeria outbreaks caused by smoked fish consumption—using whole-genome sequencing for outbreak investigations&lt;/title&gt;&lt;secondary-title&gt;Clinical Microbiology and Infection&lt;/secondary-title&gt;&lt;/titles&gt;&lt;periodical&gt;&lt;full-title&gt;Clinical Microbiology and Infection&lt;/full-title&gt;&lt;/periodical&gt;&lt;pages&gt;620-624&lt;/pages&gt;&lt;volume&gt;22&lt;/volume&gt;&lt;number&gt;7&lt;/number&gt;&lt;dates&gt;&lt;year&gt;2016&lt;/year&gt;&lt;/dates&gt;&lt;isbn&gt;1198-743X&lt;/isbn&gt;&lt;urls&gt;&lt;/urls&gt;&lt;/record&gt;&lt;/Cite&gt;&lt;/EndNote&gt;</w:instrText>
      </w:r>
      <w:r w:rsidR="00B63154">
        <w:rPr>
          <w:snapToGrid w:val="0"/>
        </w:rPr>
        <w:fldChar w:fldCharType="separate"/>
      </w:r>
      <w:r w:rsidR="00B63154">
        <w:rPr>
          <w:noProof/>
          <w:snapToGrid w:val="0"/>
        </w:rPr>
        <w:t>(Lassen</w:t>
      </w:r>
      <w:r w:rsidR="00B63154" w:rsidRPr="00B63154">
        <w:rPr>
          <w:i/>
          <w:noProof/>
          <w:snapToGrid w:val="0"/>
        </w:rPr>
        <w:t xml:space="preserve"> et al.</w:t>
      </w:r>
      <w:r w:rsidR="00B63154">
        <w:rPr>
          <w:noProof/>
          <w:snapToGrid w:val="0"/>
        </w:rPr>
        <w:t>, 2016)</w:t>
      </w:r>
      <w:r w:rsidR="00B63154">
        <w:rPr>
          <w:snapToGrid w:val="0"/>
        </w:rPr>
        <w:fldChar w:fldCharType="end"/>
      </w:r>
      <w:r w:rsidRPr="0053611C">
        <w:rPr>
          <w:snapToGrid w:val="0"/>
        </w:rPr>
        <w:t>, CC8</w:t>
      </w:r>
      <w:r w:rsidR="00B63154">
        <w:rPr>
          <w:snapToGrid w:val="0"/>
        </w:rPr>
        <w:t xml:space="preserve"> </w:t>
      </w:r>
      <w:r w:rsidR="00B63154">
        <w:rPr>
          <w:snapToGrid w:val="0"/>
        </w:rPr>
        <w:fldChar w:fldCharType="begin">
          <w:fldData xml:space="preserve">PEVuZE5vdGU+PENpdGU+PEF1dGhvcj5MYXNzZW48L0F1dGhvcj48WWVhcj4yMDE2PC9ZZWFyPjxS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=
</w:fldData>
        </w:fldChar>
      </w:r>
      <w:r w:rsidR="00B63154">
        <w:rPr>
          <w:snapToGrid w:val="0"/>
        </w:rPr>
        <w:instrText xml:space="preserve"> ADDIN EN.CITE </w:instrText>
      </w:r>
      <w:r w:rsidR="00B63154">
        <w:rPr>
          <w:snapToGrid w:val="0"/>
        </w:rPr>
        <w:fldChar w:fldCharType="begin">
          <w:fldData xml:space="preserve">PEVuZE5vdGU+PENpdGU+PEF1dGhvcj5MYXNzZW48L0F1dGhvcj48WWVhcj4yMDE2PC9ZZWFyPjxS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=
</w:fldData>
        </w:fldChar>
      </w:r>
      <w:r w:rsidR="00B63154">
        <w:rPr>
          <w:snapToGrid w:val="0"/>
        </w:rPr>
        <w:instrText xml:space="preserve"> ADDIN EN.CITE.DATA </w:instrText>
      </w:r>
      <w:r w:rsidR="00B63154">
        <w:rPr>
          <w:snapToGrid w:val="0"/>
        </w:rPr>
      </w:r>
      <w:r w:rsidR="00B63154">
        <w:rPr>
          <w:snapToGrid w:val="0"/>
        </w:rPr>
        <w:fldChar w:fldCharType="end"/>
      </w:r>
      <w:r w:rsidR="00B63154">
        <w:rPr>
          <w:snapToGrid w:val="0"/>
        </w:rPr>
      </w:r>
      <w:r w:rsidR="00B63154">
        <w:rPr>
          <w:snapToGrid w:val="0"/>
        </w:rPr>
        <w:fldChar w:fldCharType="separate"/>
      </w:r>
      <w:r w:rsidR="00B63154">
        <w:rPr>
          <w:noProof/>
          <w:snapToGrid w:val="0"/>
        </w:rPr>
        <w:t>(Lassen</w:t>
      </w:r>
      <w:r w:rsidR="00B63154" w:rsidRPr="00B63154">
        <w:rPr>
          <w:i/>
          <w:noProof/>
          <w:snapToGrid w:val="0"/>
        </w:rPr>
        <w:t xml:space="preserve"> et al.</w:t>
      </w:r>
      <w:r w:rsidR="00B63154">
        <w:rPr>
          <w:noProof/>
          <w:snapToGrid w:val="0"/>
        </w:rPr>
        <w:t>, 2016, Schjørring</w:t>
      </w:r>
      <w:r w:rsidR="00B63154" w:rsidRPr="00B63154">
        <w:rPr>
          <w:i/>
          <w:noProof/>
          <w:snapToGrid w:val="0"/>
        </w:rPr>
        <w:t xml:space="preserve"> et al.</w:t>
      </w:r>
      <w:r w:rsidR="00B63154">
        <w:rPr>
          <w:noProof/>
          <w:snapToGrid w:val="0"/>
        </w:rPr>
        <w:t>, 2017, EFSA, 2019)</w:t>
      </w:r>
      <w:r w:rsidR="00B63154">
        <w:rPr>
          <w:snapToGrid w:val="0"/>
        </w:rPr>
        <w:fldChar w:fldCharType="end"/>
      </w:r>
      <w:r w:rsidR="00B63154">
        <w:rPr>
          <w:snapToGrid w:val="0"/>
        </w:rPr>
        <w:t xml:space="preserve">. </w:t>
      </w:r>
    </w:p>
    <w:p w14:paraId="013EB09B" w14:textId="77777777" w:rsidR="0053611C" w:rsidRPr="0053611C" w:rsidRDefault="0053611C" w:rsidP="0053611C">
      <w:pPr>
        <w:autoSpaceDE w:val="0"/>
        <w:autoSpaceDN w:val="0"/>
        <w:adjustRightInd w:val="0"/>
        <w:rPr>
          <w:snapToGrid w:val="0"/>
        </w:rPr>
      </w:pPr>
    </w:p>
    <w:p w14:paraId="2F1D6271" w14:textId="4A6E8119" w:rsidR="00EA3623" w:rsidRPr="00EA3623" w:rsidRDefault="0053611C" w:rsidP="00EA3623">
      <w:pPr>
        <w:autoSpaceDE w:val="0"/>
        <w:autoSpaceDN w:val="0"/>
        <w:adjustRightInd w:val="0"/>
        <w:rPr>
          <w:snapToGrid w:val="0"/>
        </w:rPr>
      </w:pPr>
      <w:r w:rsidRPr="0053611C">
        <w:rPr>
          <w:snapToGrid w:val="0"/>
        </w:rPr>
        <w:t xml:space="preserve">Pour cela, nous </w:t>
      </w:r>
      <w:r w:rsidR="00E861AE">
        <w:rPr>
          <w:snapToGrid w:val="0"/>
        </w:rPr>
        <w:t>avons proposé</w:t>
      </w:r>
      <w:r w:rsidRPr="0053611C">
        <w:rPr>
          <w:snapToGrid w:val="0"/>
        </w:rPr>
        <w:t xml:space="preserve"> de décrire la diversité des </w:t>
      </w:r>
      <w:proofErr w:type="spellStart"/>
      <w:r w:rsidRPr="0053611C">
        <w:rPr>
          <w:snapToGrid w:val="0"/>
        </w:rPr>
        <w:t>CCs</w:t>
      </w:r>
      <w:proofErr w:type="spellEnd"/>
      <w:r w:rsidRPr="0053611C">
        <w:rPr>
          <w:snapToGrid w:val="0"/>
        </w:rPr>
        <w:t xml:space="preserve"> présents dans la base de données de typage du laboratoire de Boulogne sur Mer, intégrant plus de 3000 profils PFGE, par corrélation PFGE – MLST. Cette collection est constituée depuis plus de 20 ans par le biais de projets de recherche développés en partenariat avec les professionnels de la filière rassemblait au sein de la CITT</w:t>
      </w:r>
      <w:r w:rsidR="008337DA">
        <w:rPr>
          <w:snapToGrid w:val="0"/>
        </w:rPr>
        <w:t>PM qui a été moteur</w:t>
      </w:r>
      <w:r w:rsidRPr="0053611C">
        <w:rPr>
          <w:snapToGrid w:val="0"/>
        </w:rPr>
        <w:t xml:space="preserve">. Le projet </w:t>
      </w:r>
      <w:r w:rsidR="00E861AE">
        <w:rPr>
          <w:snapToGrid w:val="0"/>
        </w:rPr>
        <w:t>avait prévu</w:t>
      </w:r>
      <w:r w:rsidRPr="0053611C">
        <w:rPr>
          <w:snapToGrid w:val="0"/>
        </w:rPr>
        <w:t xml:space="preserve"> dans un second temps </w:t>
      </w:r>
      <w:r w:rsidR="0015193E">
        <w:rPr>
          <w:snapToGrid w:val="0"/>
        </w:rPr>
        <w:t>l’optimisation</w:t>
      </w:r>
      <w:r w:rsidRPr="0053611C">
        <w:rPr>
          <w:snapToGrid w:val="0"/>
        </w:rPr>
        <w:t xml:space="preserve"> d’un outil performant de PCR</w:t>
      </w:r>
      <w:r w:rsidR="00E861AE">
        <w:rPr>
          <w:snapToGrid w:val="0"/>
        </w:rPr>
        <w:t xml:space="preserve"> en temps réel</w:t>
      </w:r>
      <w:r w:rsidRPr="0053611C">
        <w:rPr>
          <w:snapToGrid w:val="0"/>
        </w:rPr>
        <w:t xml:space="preserve"> multiplexe</w:t>
      </w:r>
      <w:r w:rsidR="0015193E">
        <w:rPr>
          <w:snapToGrid w:val="0"/>
        </w:rPr>
        <w:t xml:space="preserve"> (mis au point sur des projets de recherche précédents)</w:t>
      </w:r>
      <w:r w:rsidRPr="0053611C">
        <w:rPr>
          <w:snapToGrid w:val="0"/>
        </w:rPr>
        <w:t xml:space="preserve"> pour l’identification rapide des </w:t>
      </w:r>
      <w:proofErr w:type="spellStart"/>
      <w:r w:rsidRPr="0053611C">
        <w:rPr>
          <w:snapToGrid w:val="0"/>
        </w:rPr>
        <w:t>CC</w:t>
      </w:r>
      <w:r w:rsidR="00E861AE">
        <w:rPr>
          <w:snapToGrid w:val="0"/>
        </w:rPr>
        <w:t>s</w:t>
      </w:r>
      <w:proofErr w:type="spellEnd"/>
      <w:r w:rsidRPr="0053611C">
        <w:rPr>
          <w:snapToGrid w:val="0"/>
        </w:rPr>
        <w:t xml:space="preserve"> les plus couramment observés dans la filière, qui sera à la disposition des industriels et disponible</w:t>
      </w:r>
      <w:r w:rsidR="00E861AE">
        <w:rPr>
          <w:snapToGrid w:val="0"/>
        </w:rPr>
        <w:t>s</w:t>
      </w:r>
      <w:r w:rsidRPr="0053611C">
        <w:rPr>
          <w:snapToGrid w:val="0"/>
        </w:rPr>
        <w:t xml:space="preserve"> dans le catalogue de prestation</w:t>
      </w:r>
      <w:r w:rsidR="00E861AE">
        <w:rPr>
          <w:snapToGrid w:val="0"/>
        </w:rPr>
        <w:t>s</w:t>
      </w:r>
      <w:r w:rsidRPr="0053611C">
        <w:rPr>
          <w:snapToGrid w:val="0"/>
        </w:rPr>
        <w:t xml:space="preserve"> de l’ANSES. Actuellement, une technique de PCR conventionnelle en point final a été publiée pour la détection de 11 principaux </w:t>
      </w:r>
      <w:proofErr w:type="spellStart"/>
      <w:r w:rsidRPr="0053611C">
        <w:rPr>
          <w:snapToGrid w:val="0"/>
        </w:rPr>
        <w:t>CCs</w:t>
      </w:r>
      <w:proofErr w:type="spellEnd"/>
      <w:r w:rsidRPr="0053611C">
        <w:rPr>
          <w:snapToGrid w:val="0"/>
        </w:rPr>
        <w:t xml:space="preserve"> retrouvés dans l’alimentation</w:t>
      </w:r>
      <w:r w:rsidR="006C5F6A">
        <w:rPr>
          <w:snapToGrid w:val="0"/>
        </w:rPr>
        <w:t xml:space="preserve"> </w:t>
      </w:r>
      <w:r w:rsidR="006C5F6A">
        <w:rPr>
          <w:snapToGrid w:val="0"/>
        </w:rPr>
        <w:fldChar w:fldCharType="begin"/>
      </w:r>
      <w:r w:rsidR="006C5F6A">
        <w:rPr>
          <w:snapToGrid w:val="0"/>
        </w:rPr>
        <w:instrText xml:space="preserve"> ADDIN EN.CITE &lt;EndNote&gt;&lt;Cite&gt;&lt;Author&gt;Chenal-Francisque&lt;/Author&gt;&lt;Year&gt;2011&lt;/Year&gt;&lt;RecNum&gt;43&lt;/RecNum&gt;&lt;DisplayText&gt;(Chenal-Francisque&lt;style face="italic"&gt; et al.&lt;/style&gt;, 2011)&lt;/DisplayText&gt;&lt;record&gt;&lt;rec-number&gt;43&lt;/rec-number&gt;&lt;foreign-keys&gt;&lt;key app="EN" db-id="xrawss2d999aevez25svdvwj909sxsvw00x2" timestamp="1442845758"&gt;43&lt;/key&gt;&lt;/foreign-keys&gt;&lt;ref-type name="Journal Article"&gt;17&lt;/ref-type&gt;&lt;contributors&gt;&lt;authors&gt;&lt;author&gt;Chenal-Francisque, V.&lt;/author&gt;&lt;author&gt;Lopez, J.&lt;/author&gt;&lt;author&gt;Cantinelli, T.&lt;/author&gt;&lt;author&gt;Caro, V.&lt;/author&gt;&lt;author&gt;Tran, C.&lt;/author&gt;&lt;author&gt;Leclercq, A.&lt;/author&gt;&lt;author&gt;Lecuit, M.&lt;/author&gt;&lt;author&gt;Brisse, S.&lt;/author&gt;&lt;/authors&gt;&lt;/contributors&gt;&lt;auth-address&gt;Institut Pasteur, Genotyping of Pathogens and Public Health (PF8), 28 Rue du Dr Roux, F-75724 Paris, France&amp;#xD;World Health Organization Collaborating Center for Listeria, Paris, France&amp;#xD;Inserm Avenir U604, Paris, France&amp;#xD;UniversitÃ© Paris Descartes, Paris, France&lt;/auth-address&gt;&lt;titles&gt;&lt;title&gt;&lt;style face="normal" font="default" size="100%"&gt;World wide distribution of major clones of &lt;/style&gt;&lt;style face="italic" font="default" size="100%"&gt;Listeria monocytogenes&lt;/style&gt;&lt;/title&gt;&lt;secondary-title&gt;Emerging Infectious Diseases&lt;/secondary-title&gt;&lt;/titles&gt;&lt;periodical&gt;&lt;full-title&gt;Emerging Infectious Diseases&lt;/full-title&gt;&lt;/periodical&gt;&lt;pages&gt;1110-1112&lt;/pages&gt;&lt;volume&gt;17&lt;/volume&gt;&lt;number&gt;6&lt;/number&gt;&lt;keywords&gt;&lt;keyword&gt;bacterium isolate&lt;/keyword&gt;&lt;keyword&gt;cell clone&lt;/keyword&gt;&lt;keyword&gt;controlled study&lt;/keyword&gt;&lt;keyword&gt;genotype&lt;/keyword&gt;&lt;keyword&gt;geographic distribution&lt;/keyword&gt;&lt;keyword&gt;letter&lt;/keyword&gt;&lt;keyword&gt;Listeria monocytogenes&lt;/keyword&gt;&lt;keyword&gt;nonhuman&lt;/keyword&gt;&lt;keyword&gt;prevalence&lt;/keyword&gt;&lt;keyword&gt;standardization&lt;/keyword&gt;&lt;/keywords&gt;&lt;dates&gt;&lt;year&gt;2011&lt;/year&gt;&lt;/dates&gt;&lt;isbn&gt;10806040 (ISSN)&lt;/isbn&gt;&lt;urls&gt;&lt;related-urls&gt;&lt;url&gt;http://www.scopus.com/inward/record.url?eid=2-s2.0-79957652225&amp;amp;partnerID=40&amp;amp;md5=0e4b0af44ca5924fd9203fcf29482232&lt;/url&gt;&lt;/related-urls&gt;&lt;/urls&gt;&lt;/record&gt;&lt;/Cite&gt;&lt;/EndNote&gt;</w:instrText>
      </w:r>
      <w:r w:rsidR="006C5F6A">
        <w:rPr>
          <w:snapToGrid w:val="0"/>
        </w:rPr>
        <w:fldChar w:fldCharType="separate"/>
      </w:r>
      <w:r w:rsidR="006C5F6A">
        <w:rPr>
          <w:noProof/>
          <w:snapToGrid w:val="0"/>
        </w:rPr>
        <w:t>(Chenal-Francisque</w:t>
      </w:r>
      <w:r w:rsidR="006C5F6A" w:rsidRPr="006C5F6A">
        <w:rPr>
          <w:i/>
          <w:noProof/>
          <w:snapToGrid w:val="0"/>
        </w:rPr>
        <w:t xml:space="preserve"> et al.</w:t>
      </w:r>
      <w:r w:rsidR="006C5F6A">
        <w:rPr>
          <w:noProof/>
          <w:snapToGrid w:val="0"/>
        </w:rPr>
        <w:t>, 2011)</w:t>
      </w:r>
      <w:r w:rsidR="006C5F6A">
        <w:rPr>
          <w:snapToGrid w:val="0"/>
        </w:rPr>
        <w:fldChar w:fldCharType="end"/>
      </w:r>
      <w:r w:rsidRPr="0053611C">
        <w:rPr>
          <w:snapToGrid w:val="0"/>
        </w:rPr>
        <w:t xml:space="preserve">. La PCR </w:t>
      </w:r>
      <w:r w:rsidR="0015193E">
        <w:rPr>
          <w:snapToGrid w:val="0"/>
        </w:rPr>
        <w:t xml:space="preserve">en temps réel optimisée </w:t>
      </w:r>
      <w:r w:rsidRPr="0053611C">
        <w:rPr>
          <w:snapToGrid w:val="0"/>
        </w:rPr>
        <w:t xml:space="preserve">dans ce projet sera une PCR en temps réel (rapide et peu coûteuse) qui visera à l’identification d’au moins 28 </w:t>
      </w:r>
      <w:proofErr w:type="spellStart"/>
      <w:r w:rsidRPr="0053611C">
        <w:rPr>
          <w:snapToGrid w:val="0"/>
        </w:rPr>
        <w:t>CCs</w:t>
      </w:r>
      <w:proofErr w:type="spellEnd"/>
      <w:r w:rsidRPr="0053611C">
        <w:rPr>
          <w:snapToGrid w:val="0"/>
        </w:rPr>
        <w:t xml:space="preserve"> avec l’ambition de couvrir 95% des </w:t>
      </w:r>
      <w:proofErr w:type="spellStart"/>
      <w:r w:rsidRPr="0053611C">
        <w:rPr>
          <w:snapToGrid w:val="0"/>
        </w:rPr>
        <w:t>CCs</w:t>
      </w:r>
      <w:proofErr w:type="spellEnd"/>
      <w:r w:rsidRPr="0053611C">
        <w:rPr>
          <w:snapToGrid w:val="0"/>
        </w:rPr>
        <w:t xml:space="preserve"> observés dans la filière et révélés par l’étude.</w:t>
      </w:r>
    </w:p>
    <w:p w14:paraId="218456C1" w14:textId="30673087" w:rsidR="00742BD8" w:rsidRDefault="00742BD8" w:rsidP="009B0706">
      <w:pPr>
        <w:pStyle w:val="Titre1"/>
      </w:pPr>
      <w:bookmarkStart w:id="8" w:name="_Toc73027850"/>
      <w:r>
        <w:lastRenderedPageBreak/>
        <w:t>Acteurs du projet</w:t>
      </w:r>
      <w:bookmarkEnd w:id="8"/>
    </w:p>
    <w:p w14:paraId="4892D7BC" w14:textId="6910E69F" w:rsidR="00560106" w:rsidRDefault="00E861AE" w:rsidP="009B0706">
      <w:pPr>
        <w:pStyle w:val="Titre2"/>
      </w:pPr>
      <w:bookmarkStart w:id="9" w:name="_Toc73027851"/>
      <w:r>
        <w:t xml:space="preserve">ANSES : </w:t>
      </w:r>
      <w:r w:rsidR="00560106">
        <w:t>Laboratoire de sécurité des aliments site de Boulogne sur Mer, unité B3PA</w:t>
      </w:r>
      <w:bookmarkEnd w:id="9"/>
    </w:p>
    <w:p w14:paraId="1C357492" w14:textId="7AC927B7" w:rsidR="006C5F6A" w:rsidRDefault="006C5F6A" w:rsidP="006C5F6A">
      <w:pPr>
        <w:rPr>
          <w:lang w:eastAsia="en-US" w:bidi="en-US"/>
        </w:rPr>
      </w:pPr>
      <w:r>
        <w:rPr>
          <w:lang w:eastAsia="en-US" w:bidi="en-US"/>
        </w:rPr>
        <w:t xml:space="preserve">L'Unité </w:t>
      </w:r>
      <w:r w:rsidR="00E861AE">
        <w:rPr>
          <w:lang w:eastAsia="en-US" w:bidi="en-US"/>
        </w:rPr>
        <w:t>Bactériologie et parasitologie des produits de la pêche et de l’aquaculture (</w:t>
      </w:r>
      <w:r>
        <w:rPr>
          <w:lang w:eastAsia="en-US" w:bidi="en-US"/>
        </w:rPr>
        <w:t>B3PA</w:t>
      </w:r>
      <w:r w:rsidR="00E861AE">
        <w:rPr>
          <w:lang w:eastAsia="en-US" w:bidi="en-US"/>
        </w:rPr>
        <w:t>)</w:t>
      </w:r>
      <w:r w:rsidR="00E861AE" w:rsidRPr="00E861AE">
        <w:t xml:space="preserve"> </w:t>
      </w:r>
      <w:r w:rsidR="00E861AE" w:rsidRPr="00BA130A">
        <w:t>du Laboratoire de Sécurité des Aliments (</w:t>
      </w:r>
      <w:proofErr w:type="spellStart"/>
      <w:r w:rsidR="00E861AE" w:rsidRPr="00BA130A">
        <w:t>LSA</w:t>
      </w:r>
      <w:r w:rsidR="007030A0">
        <w:t>l</w:t>
      </w:r>
      <w:proofErr w:type="spellEnd"/>
      <w:r w:rsidR="00E861AE" w:rsidRPr="00BA130A">
        <w:t xml:space="preserve">) de l’Anses de </w:t>
      </w:r>
      <w:r w:rsidR="00E861AE">
        <w:t>Boulogne sur mer</w:t>
      </w:r>
      <w:r>
        <w:rPr>
          <w:lang w:eastAsia="en-US" w:bidi="en-US"/>
        </w:rPr>
        <w:t xml:space="preserve"> consacre ses activités de référence et de recherche aux contaminants biologiques dans les produits de la pêche et de l'aquaculture et plus spécifiquement à deux bactéries pathogènes zoonotiques d’intérêt pour la filière : </w:t>
      </w:r>
      <w:proofErr w:type="spellStart"/>
      <w:r w:rsidRPr="002A3713">
        <w:rPr>
          <w:i/>
          <w:lang w:eastAsia="en-US" w:bidi="en-US"/>
        </w:rPr>
        <w:t>Vibrio</w:t>
      </w:r>
      <w:proofErr w:type="spellEnd"/>
      <w:r w:rsidRPr="002A3713">
        <w:rPr>
          <w:i/>
          <w:lang w:eastAsia="en-US" w:bidi="en-US"/>
        </w:rPr>
        <w:t xml:space="preserve"> </w:t>
      </w:r>
      <w:proofErr w:type="spellStart"/>
      <w:r>
        <w:rPr>
          <w:lang w:eastAsia="en-US" w:bidi="en-US"/>
        </w:rPr>
        <w:t>spp</w:t>
      </w:r>
      <w:proofErr w:type="spellEnd"/>
      <w:r>
        <w:rPr>
          <w:lang w:eastAsia="en-US" w:bidi="en-US"/>
        </w:rPr>
        <w:t xml:space="preserve">., </w:t>
      </w:r>
      <w:r w:rsidRPr="002A3713">
        <w:rPr>
          <w:i/>
          <w:lang w:eastAsia="en-US" w:bidi="en-US"/>
        </w:rPr>
        <w:t xml:space="preserve">Listeria </w:t>
      </w:r>
      <w:proofErr w:type="spellStart"/>
      <w:r w:rsidRPr="002A3713">
        <w:rPr>
          <w:i/>
          <w:lang w:eastAsia="en-US" w:bidi="en-US"/>
        </w:rPr>
        <w:t>monocytogenes</w:t>
      </w:r>
      <w:proofErr w:type="spellEnd"/>
      <w:r w:rsidRPr="002A3713">
        <w:rPr>
          <w:i/>
          <w:lang w:eastAsia="en-US" w:bidi="en-US"/>
        </w:rPr>
        <w:t xml:space="preserve"> </w:t>
      </w:r>
      <w:r>
        <w:rPr>
          <w:lang w:eastAsia="en-US" w:bidi="en-US"/>
        </w:rPr>
        <w:t xml:space="preserve">et ainsi qu'aux </w:t>
      </w:r>
      <w:proofErr w:type="spellStart"/>
      <w:r w:rsidRPr="002A3713">
        <w:rPr>
          <w:i/>
          <w:lang w:eastAsia="en-US" w:bidi="en-US"/>
        </w:rPr>
        <w:t>Anisakidae</w:t>
      </w:r>
      <w:proofErr w:type="spellEnd"/>
      <w:r>
        <w:rPr>
          <w:lang w:eastAsia="en-US" w:bidi="en-US"/>
        </w:rPr>
        <w:t>, nématodes parasites.</w:t>
      </w:r>
      <w:r w:rsidR="00E861AE">
        <w:rPr>
          <w:lang w:eastAsia="en-US" w:bidi="en-US"/>
        </w:rPr>
        <w:t xml:space="preserve"> Elle </w:t>
      </w:r>
      <w:r w:rsidR="00E861AE" w:rsidRPr="00BA130A">
        <w:t xml:space="preserve">figure parmi les unités supports pour les activités de Laboratoire de référence de l’Union Européenne (LRUE) et Laboratoire National de Référence (LNR) pour </w:t>
      </w:r>
      <w:r w:rsidR="00E861AE" w:rsidRPr="00BA130A">
        <w:rPr>
          <w:i/>
        </w:rPr>
        <w:t xml:space="preserve">L. </w:t>
      </w:r>
      <w:proofErr w:type="spellStart"/>
      <w:r w:rsidR="00E861AE" w:rsidRPr="00BA130A">
        <w:rPr>
          <w:i/>
        </w:rPr>
        <w:t>monocytogenes</w:t>
      </w:r>
      <w:proofErr w:type="spellEnd"/>
      <w:r w:rsidR="00E861AE">
        <w:rPr>
          <w:i/>
        </w:rPr>
        <w:t>.</w:t>
      </w:r>
    </w:p>
    <w:p w14:paraId="5EF278DF" w14:textId="49C5D031" w:rsidR="00B63154" w:rsidRPr="00B63154" w:rsidRDefault="006C5F6A" w:rsidP="006C5F6A">
      <w:pPr>
        <w:rPr>
          <w:lang w:eastAsia="en-US" w:bidi="en-US"/>
        </w:rPr>
      </w:pPr>
      <w:r>
        <w:rPr>
          <w:lang w:eastAsia="en-US" w:bidi="en-US"/>
        </w:rPr>
        <w:t>Les principales thématiques de recherche de l'unité B3PA sont i) la compréhension de la répartition de ces pathogènes dans les produits de la pêche et de l'aquaculture, ii) leur caractérisation par l’identification de facteurs de virulence, de résistance aux antibiotiques, et par l’étude de la formation de biofilms, de l’état viable non cultivable (VNC), iii) l'étude de l’impact de facteurs externes et internes sur leur comportement et pathogénicité, iv) la résistance aux antibiotiques des bactéries isolées de ces produits.</w:t>
      </w:r>
    </w:p>
    <w:p w14:paraId="179732B0" w14:textId="073D1504" w:rsidR="006A78F2" w:rsidRDefault="00E861AE" w:rsidP="009B0706">
      <w:pPr>
        <w:pStyle w:val="Titre2"/>
      </w:pPr>
      <w:bookmarkStart w:id="10" w:name="_Toc73027852"/>
      <w:r>
        <w:t xml:space="preserve">ANSES : </w:t>
      </w:r>
      <w:r w:rsidR="00560106">
        <w:t>Laboratoire de sécurité des aliments site de Maisons-Alfort, unité SEL</w:t>
      </w:r>
      <w:bookmarkEnd w:id="10"/>
    </w:p>
    <w:p w14:paraId="61856716" w14:textId="7CB23F25" w:rsidR="00560106" w:rsidRPr="00560106" w:rsidRDefault="00560106" w:rsidP="00560106">
      <w:pPr>
        <w:rPr>
          <w:lang w:eastAsia="en-US" w:bidi="en-US"/>
        </w:rPr>
      </w:pPr>
      <w:r w:rsidRPr="00BA130A">
        <w:t xml:space="preserve">L’Equipe Listeria de l’Unité </w:t>
      </w:r>
      <w:r w:rsidRPr="00BA130A">
        <w:rPr>
          <w:i/>
        </w:rPr>
        <w:t>Salmonella</w:t>
      </w:r>
      <w:r>
        <w:rPr>
          <w:i/>
        </w:rPr>
        <w:t xml:space="preserve"> et</w:t>
      </w:r>
      <w:r w:rsidRPr="00BA130A">
        <w:rPr>
          <w:i/>
        </w:rPr>
        <w:t>-Listeria</w:t>
      </w:r>
      <w:r w:rsidRPr="00BA130A">
        <w:t xml:space="preserve"> (SEL) du Laboratoire de Sécurité des Aliments (</w:t>
      </w:r>
      <w:proofErr w:type="spellStart"/>
      <w:r w:rsidRPr="00BA130A">
        <w:t>LSA</w:t>
      </w:r>
      <w:r w:rsidR="007030A0">
        <w:t>l</w:t>
      </w:r>
      <w:proofErr w:type="spellEnd"/>
      <w:r w:rsidRPr="00BA130A">
        <w:t xml:space="preserve">) de l’Anses de Maisons-Alfort figure parmi les unités supports pour les activités de Laboratoire de référence de l’Union Européenne (LRUE) et Laboratoire National de Référence (LNR) pour </w:t>
      </w:r>
      <w:r w:rsidRPr="00BA130A">
        <w:rPr>
          <w:i/>
        </w:rPr>
        <w:t xml:space="preserve">L. </w:t>
      </w:r>
      <w:proofErr w:type="spellStart"/>
      <w:r w:rsidRPr="00BA130A">
        <w:rPr>
          <w:i/>
        </w:rPr>
        <w:t>monocytogenes</w:t>
      </w:r>
      <w:proofErr w:type="spellEnd"/>
      <w:r w:rsidRPr="00BA130A">
        <w:t xml:space="preserve">. Le LRUE collabore avec un réseau de </w:t>
      </w:r>
      <w:r>
        <w:t>41</w:t>
      </w:r>
      <w:r w:rsidRPr="00BA130A">
        <w:t xml:space="preserve"> </w:t>
      </w:r>
      <w:proofErr w:type="spellStart"/>
      <w:r w:rsidRPr="00BA130A">
        <w:t>LNRs</w:t>
      </w:r>
      <w:proofErr w:type="spellEnd"/>
      <w:r w:rsidRPr="00BA130A">
        <w:t xml:space="preserve"> Européens impliqués dans la surveillance de </w:t>
      </w:r>
      <w:r w:rsidRPr="00BA130A">
        <w:rPr>
          <w:i/>
        </w:rPr>
        <w:t xml:space="preserve">L. </w:t>
      </w:r>
      <w:proofErr w:type="spellStart"/>
      <w:r w:rsidRPr="00BA130A">
        <w:rPr>
          <w:i/>
        </w:rPr>
        <w:t>monocytogenes</w:t>
      </w:r>
      <w:proofErr w:type="spellEnd"/>
      <w:r w:rsidRPr="00BA130A">
        <w:rPr>
          <w:i/>
        </w:rPr>
        <w:t xml:space="preserve"> </w:t>
      </w:r>
      <w:r w:rsidRPr="00BA130A">
        <w:t>dans leur pays</w:t>
      </w:r>
      <w:r w:rsidRPr="00BA130A">
        <w:rPr>
          <w:i/>
        </w:rPr>
        <w:t>.</w:t>
      </w:r>
      <w:r w:rsidRPr="00BA130A">
        <w:t xml:space="preserve"> Le LNR Français collabore avec les laboratoires français impliqués dans la surveillance de </w:t>
      </w:r>
      <w:r w:rsidRPr="00BA130A">
        <w:rPr>
          <w:i/>
        </w:rPr>
        <w:t xml:space="preserve">L. </w:t>
      </w:r>
      <w:proofErr w:type="spellStart"/>
      <w:r w:rsidRPr="00BA130A">
        <w:rPr>
          <w:i/>
        </w:rPr>
        <w:t>monocytogenes</w:t>
      </w:r>
      <w:proofErr w:type="spellEnd"/>
      <w:r w:rsidRPr="00BA130A">
        <w:t xml:space="preserve"> et notamment les centres technique</w:t>
      </w:r>
      <w:r>
        <w:t>s</w:t>
      </w:r>
      <w:r w:rsidRPr="00BA130A">
        <w:t xml:space="preserve"> agricole et agro-industriel (</w:t>
      </w:r>
      <w:proofErr w:type="spellStart"/>
      <w:r w:rsidRPr="00BA130A">
        <w:t>CTs</w:t>
      </w:r>
      <w:proofErr w:type="spellEnd"/>
      <w:r w:rsidRPr="00BA130A">
        <w:t xml:space="preserve">). Dans le cadre ses activité, l’équipe a rassemblé une large collection d’isolats d’origine alimentaire (environ 10000 souches), isolées dans toute la France et collectées à partir de filières alimentaires variées, depuis ces vingt dernières années. Les données de typage d’environ 3000 souches, associées aux informations épidémiologiques, aux données phénotypiques et aux </w:t>
      </w:r>
      <w:proofErr w:type="spellStart"/>
      <w:r w:rsidRPr="00BA130A">
        <w:t>sérotypes</w:t>
      </w:r>
      <w:proofErr w:type="spellEnd"/>
      <w:r w:rsidRPr="00BA130A">
        <w:t xml:space="preserve"> des souches, sont archivées</w:t>
      </w:r>
      <w:r>
        <w:t xml:space="preserve"> dans la base de données du LNR</w:t>
      </w:r>
      <w:r w:rsidRPr="00BA130A">
        <w:t>.</w:t>
      </w:r>
    </w:p>
    <w:p w14:paraId="230897B3" w14:textId="6313A3D3" w:rsidR="00560106" w:rsidRDefault="009B0706" w:rsidP="009B0706">
      <w:pPr>
        <w:pStyle w:val="Titre2"/>
      </w:pPr>
      <w:bookmarkStart w:id="11" w:name="_Toc73027853"/>
      <w:r>
        <w:lastRenderedPageBreak/>
        <w:t>Collaboration</w:t>
      </w:r>
      <w:r w:rsidR="0015193E">
        <w:t>s</w:t>
      </w:r>
      <w:r>
        <w:t xml:space="preserve"> scientifique</w:t>
      </w:r>
      <w:r w:rsidR="0015193E">
        <w:t>s</w:t>
      </w:r>
      <w:r>
        <w:t xml:space="preserve"> avec l</w:t>
      </w:r>
      <w:r w:rsidR="00560106">
        <w:t>’ADRIA de Quimper</w:t>
      </w:r>
      <w:r>
        <w:t xml:space="preserve">, ACTALIA Saint </w:t>
      </w:r>
      <w:proofErr w:type="spellStart"/>
      <w:r>
        <w:t>Lô</w:t>
      </w:r>
      <w:proofErr w:type="spellEnd"/>
      <w:r w:rsidR="00560106">
        <w:t xml:space="preserve"> et l’</w:t>
      </w:r>
      <w:r w:rsidR="00560106" w:rsidRPr="006A78F2">
        <w:t>IFIP</w:t>
      </w:r>
      <w:r w:rsidR="0015193E">
        <w:t xml:space="preserve"> lors de la mise au point sur des projets précédents et pour les essais inter-laboratoires</w:t>
      </w:r>
      <w:bookmarkEnd w:id="11"/>
    </w:p>
    <w:p w14:paraId="6C4D682E" w14:textId="2F2C49FD" w:rsidR="00560106" w:rsidRPr="00742BD8" w:rsidRDefault="00560106" w:rsidP="00560106">
      <w:pPr>
        <w:rPr>
          <w:lang w:eastAsia="en-US" w:bidi="en-US"/>
        </w:rPr>
      </w:pPr>
      <w:r>
        <w:rPr>
          <w:lang w:eastAsia="en-US" w:bidi="en-US"/>
        </w:rPr>
        <w:t>L’ADRIA de Quimper</w:t>
      </w:r>
      <w:r w:rsidR="00E861AE">
        <w:rPr>
          <w:lang w:eastAsia="en-US" w:bidi="en-US"/>
        </w:rPr>
        <w:t xml:space="preserve">, ACTALIA Saint </w:t>
      </w:r>
      <w:proofErr w:type="spellStart"/>
      <w:r w:rsidR="00E861AE">
        <w:rPr>
          <w:lang w:eastAsia="en-US" w:bidi="en-US"/>
        </w:rPr>
        <w:t>Lô</w:t>
      </w:r>
      <w:proofErr w:type="spellEnd"/>
      <w:r>
        <w:rPr>
          <w:lang w:eastAsia="en-US" w:bidi="en-US"/>
        </w:rPr>
        <w:t xml:space="preserve"> et </w:t>
      </w:r>
      <w:r w:rsidR="00E861AE">
        <w:rPr>
          <w:lang w:eastAsia="en-US" w:bidi="en-US"/>
        </w:rPr>
        <w:t>l</w:t>
      </w:r>
      <w:r w:rsidR="00075A53">
        <w:rPr>
          <w:lang w:eastAsia="en-US" w:bidi="en-US"/>
        </w:rPr>
        <w:t>’</w:t>
      </w:r>
      <w:r w:rsidR="00E861AE">
        <w:rPr>
          <w:lang w:eastAsia="en-US" w:bidi="en-US"/>
        </w:rPr>
        <w:t>IFIP</w:t>
      </w:r>
      <w:r w:rsidR="00075A53">
        <w:rPr>
          <w:lang w:eastAsia="en-US" w:bidi="en-US"/>
        </w:rPr>
        <w:t xml:space="preserve"> (</w:t>
      </w:r>
      <w:r>
        <w:rPr>
          <w:lang w:eastAsia="en-US" w:bidi="en-US"/>
        </w:rPr>
        <w:t>l’Institut du Porc</w:t>
      </w:r>
      <w:r w:rsidR="00075A53">
        <w:rPr>
          <w:lang w:eastAsia="en-US" w:bidi="en-US"/>
        </w:rPr>
        <w:t>)</w:t>
      </w:r>
      <w:r>
        <w:rPr>
          <w:lang w:eastAsia="en-US" w:bidi="en-US"/>
        </w:rPr>
        <w:t xml:space="preserve"> sont des instituts techniques agricole</w:t>
      </w:r>
      <w:r w:rsidR="007030A0">
        <w:rPr>
          <w:lang w:eastAsia="en-US" w:bidi="en-US"/>
        </w:rPr>
        <w:t>s</w:t>
      </w:r>
      <w:r>
        <w:rPr>
          <w:lang w:eastAsia="en-US" w:bidi="en-US"/>
        </w:rPr>
        <w:t xml:space="preserve"> et agro-industriels, qui ont entre autres comme mission, la surveillance épidémiologique des contaminants et l’amélioration de l’hygiène des productions des industries agro-alimentaires. Ils possèdent un grand nombre de souches provenant</w:t>
      </w:r>
      <w:r w:rsidR="00075A53">
        <w:rPr>
          <w:lang w:eastAsia="en-US" w:bidi="en-US"/>
        </w:rPr>
        <w:t>,</w:t>
      </w:r>
      <w:r>
        <w:rPr>
          <w:lang w:eastAsia="en-US" w:bidi="en-US"/>
        </w:rPr>
        <w:t xml:space="preserve"> de la filière porc pour l’IFIP et de toutes filières pour l’ADRIA. Ces souches sont isolées dans différentes régions de France</w:t>
      </w:r>
      <w:r w:rsidRPr="00560106">
        <w:rPr>
          <w:lang w:eastAsia="en-US" w:bidi="en-US"/>
        </w:rPr>
        <w:t xml:space="preserve"> </w:t>
      </w:r>
      <w:r>
        <w:rPr>
          <w:lang w:eastAsia="en-US" w:bidi="en-US"/>
        </w:rPr>
        <w:t>d’autocontrôles réalisés entre autres par les professionnels de l’</w:t>
      </w:r>
      <w:r w:rsidR="00075A53">
        <w:rPr>
          <w:lang w:eastAsia="en-US" w:bidi="en-US"/>
        </w:rPr>
        <w:t>agro-alimentaire</w:t>
      </w:r>
      <w:r>
        <w:rPr>
          <w:lang w:eastAsia="en-US" w:bidi="en-US"/>
        </w:rPr>
        <w:t>. Les deux instituts réalisent le typage de leurs souches en particulier par PFGE et entretiennent respectivement des bases de données de profils moléculaires.</w:t>
      </w:r>
      <w:r w:rsidR="007030A0">
        <w:rPr>
          <w:lang w:eastAsia="en-US" w:bidi="en-US"/>
        </w:rPr>
        <w:t xml:space="preserve"> L’IFIP, l’ADRIA et ACTALIA participeront aux essais inter-laboratoires qui seront organisés à la suite du projet.</w:t>
      </w:r>
    </w:p>
    <w:p w14:paraId="7D6F53AF" w14:textId="77777777" w:rsidR="00080B68" w:rsidRPr="0090118F" w:rsidRDefault="00080B68" w:rsidP="009B0706">
      <w:pPr>
        <w:pStyle w:val="Titre1"/>
      </w:pPr>
      <w:bookmarkStart w:id="12" w:name="_Toc475355569"/>
      <w:bookmarkStart w:id="13" w:name="_Toc73027854"/>
      <w:r w:rsidRPr="0090118F">
        <w:t>Objectifs du programme</w:t>
      </w:r>
      <w:bookmarkEnd w:id="12"/>
      <w:bookmarkEnd w:id="13"/>
    </w:p>
    <w:p w14:paraId="32EA66EC" w14:textId="77777777" w:rsidR="00B15E79" w:rsidRPr="0090118F" w:rsidRDefault="00B15E79" w:rsidP="001B2104">
      <w:r w:rsidRPr="0090118F">
        <w:t xml:space="preserve">Les objectifs de ce projet </w:t>
      </w:r>
      <w:r w:rsidR="0065165E">
        <w:t>ont été</w:t>
      </w:r>
      <w:r w:rsidRPr="0090118F">
        <w:t> :</w:t>
      </w:r>
    </w:p>
    <w:p w14:paraId="657B396F" w14:textId="77777777" w:rsidR="0065165E" w:rsidRPr="0065165E" w:rsidRDefault="00B15E79" w:rsidP="008920F3">
      <w:pPr>
        <w:pStyle w:val="Paragraphedeliste"/>
        <w:numPr>
          <w:ilvl w:val="0"/>
          <w:numId w:val="3"/>
        </w:numPr>
        <w:rPr>
          <w:sz w:val="24"/>
        </w:rPr>
      </w:pPr>
      <w:proofErr w:type="gramStart"/>
      <w:r w:rsidRPr="004A5C94">
        <w:rPr>
          <w:sz w:val="24"/>
        </w:rPr>
        <w:t>de</w:t>
      </w:r>
      <w:proofErr w:type="gramEnd"/>
      <w:r w:rsidRPr="004A5C94">
        <w:rPr>
          <w:sz w:val="24"/>
        </w:rPr>
        <w:t xml:space="preserve"> </w:t>
      </w:r>
      <w:bookmarkStart w:id="14" w:name="_Toc367978357"/>
      <w:bookmarkStart w:id="15" w:name="_Toc475355570"/>
      <w:r w:rsidR="0065165E">
        <w:rPr>
          <w:sz w:val="24"/>
        </w:rPr>
        <w:t>r</w:t>
      </w:r>
      <w:r w:rsidR="0065165E" w:rsidRPr="0065165E">
        <w:rPr>
          <w:sz w:val="24"/>
        </w:rPr>
        <w:t xml:space="preserve">éaliser un inventaire de la diversité génétique par complexes clonaux sur la base des profils PFGE obtenus sur les isolats de </w:t>
      </w:r>
      <w:r w:rsidR="0065165E" w:rsidRPr="001B4D55">
        <w:rPr>
          <w:i/>
          <w:sz w:val="24"/>
        </w:rPr>
        <w:t xml:space="preserve">L. </w:t>
      </w:r>
      <w:proofErr w:type="spellStart"/>
      <w:r w:rsidR="0065165E" w:rsidRPr="001B4D55">
        <w:rPr>
          <w:i/>
          <w:sz w:val="24"/>
        </w:rPr>
        <w:t>monocytogenes</w:t>
      </w:r>
      <w:proofErr w:type="spellEnd"/>
      <w:r w:rsidR="0065165E" w:rsidRPr="0065165E">
        <w:rPr>
          <w:sz w:val="24"/>
        </w:rPr>
        <w:t xml:space="preserve"> présents dans la </w:t>
      </w:r>
      <w:proofErr w:type="spellStart"/>
      <w:r w:rsidR="0065165E" w:rsidRPr="0065165E">
        <w:rPr>
          <w:sz w:val="24"/>
        </w:rPr>
        <w:t>souchothèque</w:t>
      </w:r>
      <w:proofErr w:type="spellEnd"/>
      <w:r w:rsidR="0065165E" w:rsidRPr="0065165E">
        <w:rPr>
          <w:sz w:val="24"/>
        </w:rPr>
        <w:t xml:space="preserve"> créée et constituée à la suite de programmes de recherche réalisés avec les professionnels de la filière,</w:t>
      </w:r>
    </w:p>
    <w:p w14:paraId="43573F06" w14:textId="7FC763B8" w:rsidR="0065165E" w:rsidRPr="0065165E" w:rsidRDefault="0065165E" w:rsidP="008920F3">
      <w:pPr>
        <w:pStyle w:val="Paragraphedeliste"/>
        <w:numPr>
          <w:ilvl w:val="0"/>
          <w:numId w:val="3"/>
        </w:numPr>
        <w:rPr>
          <w:sz w:val="24"/>
        </w:rPr>
      </w:pPr>
      <w:proofErr w:type="gramStart"/>
      <w:r>
        <w:rPr>
          <w:sz w:val="24"/>
        </w:rPr>
        <w:t>d</w:t>
      </w:r>
      <w:r w:rsidRPr="0065165E">
        <w:rPr>
          <w:sz w:val="24"/>
        </w:rPr>
        <w:t>évelopper</w:t>
      </w:r>
      <w:proofErr w:type="gramEnd"/>
      <w:r w:rsidR="0015193E">
        <w:rPr>
          <w:sz w:val="24"/>
        </w:rPr>
        <w:t>/ optimiser</w:t>
      </w:r>
      <w:r w:rsidRPr="0065165E">
        <w:rPr>
          <w:sz w:val="24"/>
        </w:rPr>
        <w:t xml:space="preserve"> un outil de PCR innovant et rapide pour la détection d’au moins 28 </w:t>
      </w:r>
      <w:r w:rsidR="007030A0">
        <w:rPr>
          <w:sz w:val="24"/>
        </w:rPr>
        <w:t>complexes clonaux (</w:t>
      </w:r>
      <w:proofErr w:type="spellStart"/>
      <w:r w:rsidRPr="0065165E">
        <w:rPr>
          <w:sz w:val="24"/>
        </w:rPr>
        <w:t>CCs</w:t>
      </w:r>
      <w:proofErr w:type="spellEnd"/>
      <w:r w:rsidR="007030A0">
        <w:rPr>
          <w:sz w:val="24"/>
        </w:rPr>
        <w:t>)</w:t>
      </w:r>
      <w:r w:rsidRPr="0065165E">
        <w:rPr>
          <w:sz w:val="24"/>
        </w:rPr>
        <w:t xml:space="preserve"> représentant plus de 95% de la diversité génétique observée dans la filière. Cette PCR </w:t>
      </w:r>
      <w:r w:rsidR="0015193E">
        <w:rPr>
          <w:sz w:val="24"/>
        </w:rPr>
        <w:t xml:space="preserve">en temps réel </w:t>
      </w:r>
      <w:r w:rsidRPr="0065165E">
        <w:rPr>
          <w:sz w:val="24"/>
        </w:rPr>
        <w:t xml:space="preserve">inclura des sous-groupes génétiques au sein des </w:t>
      </w:r>
      <w:proofErr w:type="spellStart"/>
      <w:r w:rsidRPr="0065165E">
        <w:rPr>
          <w:sz w:val="24"/>
        </w:rPr>
        <w:t>CC</w:t>
      </w:r>
      <w:r w:rsidR="007030A0">
        <w:rPr>
          <w:sz w:val="24"/>
        </w:rPr>
        <w:t>s</w:t>
      </w:r>
      <w:proofErr w:type="spellEnd"/>
      <w:r w:rsidRPr="0065165E">
        <w:rPr>
          <w:sz w:val="24"/>
        </w:rPr>
        <w:t xml:space="preserve"> les plus prévalent dans la filière pêche comme le CC121.</w:t>
      </w:r>
    </w:p>
    <w:p w14:paraId="0519B202" w14:textId="77777777" w:rsidR="0065165E" w:rsidRDefault="0065165E" w:rsidP="0065165E">
      <w:pPr>
        <w:pStyle w:val="Titre1"/>
      </w:pPr>
      <w:bookmarkStart w:id="16" w:name="_Toc73027855"/>
      <w:bookmarkEnd w:id="14"/>
      <w:bookmarkEnd w:id="15"/>
      <w:r w:rsidRPr="0065165E">
        <w:t>Programme d’actions</w:t>
      </w:r>
      <w:bookmarkEnd w:id="16"/>
    </w:p>
    <w:p w14:paraId="45CEAE9F" w14:textId="77777777" w:rsidR="00080B68" w:rsidRPr="0090118F" w:rsidRDefault="00080B68" w:rsidP="00FC0CD4">
      <w:pPr>
        <w:spacing w:before="100" w:beforeAutospacing="1" w:after="100" w:afterAutospacing="1"/>
      </w:pPr>
      <w:r w:rsidRPr="0090118F">
        <w:t xml:space="preserve">Le </w:t>
      </w:r>
      <w:r w:rsidRPr="0090118F">
        <w:rPr>
          <w:b/>
        </w:rPr>
        <w:t>programme général des travaux</w:t>
      </w:r>
      <w:r w:rsidRPr="0090118F">
        <w:t xml:space="preserve"> a été décliné en </w:t>
      </w:r>
      <w:r w:rsidR="0053611C">
        <w:t>deux</w:t>
      </w:r>
      <w:r w:rsidRPr="0090118F">
        <w:t xml:space="preserve"> étapes distinctes :</w:t>
      </w:r>
    </w:p>
    <w:p w14:paraId="250DF6EF" w14:textId="77777777" w:rsidR="0053611C" w:rsidRPr="0053611C" w:rsidRDefault="0053611C" w:rsidP="0053611C">
      <w:pPr>
        <w:pStyle w:val="En-tte"/>
        <w:tabs>
          <w:tab w:val="right" w:leader="underscore" w:pos="0"/>
          <w:tab w:val="right" w:leader="underscore" w:pos="709"/>
          <w:tab w:val="left" w:pos="5760"/>
        </w:tabs>
        <w:rPr>
          <w:b/>
          <w:sz w:val="24"/>
          <w:szCs w:val="24"/>
        </w:rPr>
      </w:pPr>
      <w:r w:rsidRPr="0053611C">
        <w:rPr>
          <w:b/>
          <w:sz w:val="24"/>
          <w:szCs w:val="24"/>
        </w:rPr>
        <w:t>Etape</w:t>
      </w:r>
      <w:r>
        <w:rPr>
          <w:b/>
          <w:sz w:val="24"/>
          <w:szCs w:val="24"/>
        </w:rPr>
        <w:t xml:space="preserve"> </w:t>
      </w:r>
      <w:r w:rsidRPr="0053611C">
        <w:rPr>
          <w:b/>
          <w:sz w:val="24"/>
          <w:szCs w:val="24"/>
        </w:rPr>
        <w:t xml:space="preserve">1 : Inventaire de la diversité génétique par CC sur la base des profils PFGE des isolats de </w:t>
      </w:r>
      <w:r w:rsidRPr="0053611C">
        <w:rPr>
          <w:b/>
          <w:i/>
          <w:sz w:val="24"/>
          <w:szCs w:val="24"/>
        </w:rPr>
        <w:t xml:space="preserve">L. </w:t>
      </w:r>
      <w:proofErr w:type="spellStart"/>
      <w:r w:rsidRPr="0053611C">
        <w:rPr>
          <w:b/>
          <w:i/>
          <w:sz w:val="24"/>
          <w:szCs w:val="24"/>
        </w:rPr>
        <w:t>monocytogenes</w:t>
      </w:r>
      <w:proofErr w:type="spellEnd"/>
      <w:r w:rsidRPr="0053611C">
        <w:rPr>
          <w:b/>
          <w:sz w:val="24"/>
          <w:szCs w:val="24"/>
        </w:rPr>
        <w:t xml:space="preserve"> présents dans la </w:t>
      </w:r>
      <w:proofErr w:type="spellStart"/>
      <w:r w:rsidRPr="0053611C">
        <w:rPr>
          <w:b/>
          <w:sz w:val="24"/>
          <w:szCs w:val="24"/>
        </w:rPr>
        <w:t>souchothèque</w:t>
      </w:r>
      <w:proofErr w:type="spellEnd"/>
      <w:r w:rsidRPr="0053611C">
        <w:rPr>
          <w:b/>
          <w:sz w:val="24"/>
          <w:szCs w:val="24"/>
        </w:rPr>
        <w:t xml:space="preserve"> du laboratoire de Boulogne sur Mer.</w:t>
      </w:r>
    </w:p>
    <w:p w14:paraId="23C6FB41"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23A1AA95" w14:textId="77777777" w:rsidR="0053611C" w:rsidRPr="0053611C" w:rsidRDefault="0053611C" w:rsidP="0053611C">
      <w:pPr>
        <w:pStyle w:val="En-tte"/>
        <w:tabs>
          <w:tab w:val="right" w:leader="underscore" w:pos="0"/>
          <w:tab w:val="right" w:leader="underscore" w:pos="709"/>
          <w:tab w:val="left" w:pos="5760"/>
        </w:tabs>
        <w:rPr>
          <w:sz w:val="24"/>
          <w:szCs w:val="24"/>
        </w:rPr>
      </w:pPr>
      <w:r>
        <w:rPr>
          <w:b/>
          <w:sz w:val="24"/>
          <w:szCs w:val="24"/>
        </w:rPr>
        <w:t>Etape</w:t>
      </w:r>
      <w:r w:rsidRPr="0053611C">
        <w:rPr>
          <w:b/>
          <w:sz w:val="24"/>
          <w:szCs w:val="24"/>
        </w:rPr>
        <w:t xml:space="preserve"> 1.1 : </w:t>
      </w:r>
      <w:r w:rsidRPr="0053611C">
        <w:rPr>
          <w:sz w:val="24"/>
          <w:szCs w:val="24"/>
        </w:rPr>
        <w:t xml:space="preserve">La définition d’un panel de souches spécifiques de la filière des produits de la pêche et de l’aquaculture est importante pour être le plus représentatif possible de la biodiversité observée dans la filière en profils PFGE. Ce panel sera déterminé selon certains critères comme la diversité des profils PFGE et </w:t>
      </w:r>
      <w:r w:rsidRPr="0053611C">
        <w:rPr>
          <w:sz w:val="24"/>
          <w:szCs w:val="24"/>
        </w:rPr>
        <w:lastRenderedPageBreak/>
        <w:t xml:space="preserve">leur fréquence dans la filière, la nature des échantillons (aliments transformés, matières premières, environnement, avant et après les opérations de nettoyage et désinfection, …), les entreprises, … </w:t>
      </w:r>
    </w:p>
    <w:p w14:paraId="0C19D1ED"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559722A0" w14:textId="2501372E" w:rsidR="0053611C" w:rsidRPr="0053611C" w:rsidRDefault="0053611C" w:rsidP="0053611C">
      <w:pPr>
        <w:pStyle w:val="En-tte"/>
        <w:tabs>
          <w:tab w:val="right" w:leader="underscore" w:pos="0"/>
          <w:tab w:val="right" w:leader="underscore" w:pos="709"/>
          <w:tab w:val="left" w:pos="5760"/>
        </w:tabs>
        <w:rPr>
          <w:sz w:val="24"/>
          <w:szCs w:val="24"/>
        </w:rPr>
      </w:pPr>
      <w:r w:rsidRPr="0053611C">
        <w:rPr>
          <w:b/>
          <w:sz w:val="24"/>
          <w:szCs w:val="24"/>
        </w:rPr>
        <w:t>Etape 1.2 :</w:t>
      </w:r>
      <w:r w:rsidRPr="0053611C">
        <w:rPr>
          <w:sz w:val="24"/>
          <w:szCs w:val="24"/>
        </w:rPr>
        <w:t xml:space="preserve"> La détermination des </w:t>
      </w:r>
      <w:proofErr w:type="spellStart"/>
      <w:r w:rsidRPr="0053611C">
        <w:rPr>
          <w:sz w:val="24"/>
          <w:szCs w:val="24"/>
        </w:rPr>
        <w:t>CC</w:t>
      </w:r>
      <w:r w:rsidR="007030A0">
        <w:rPr>
          <w:sz w:val="24"/>
          <w:szCs w:val="24"/>
        </w:rPr>
        <w:t>s</w:t>
      </w:r>
      <w:proofErr w:type="spellEnd"/>
      <w:r w:rsidRPr="0053611C">
        <w:rPr>
          <w:sz w:val="24"/>
          <w:szCs w:val="24"/>
        </w:rPr>
        <w:t xml:space="preserve"> sera réalisée à partir des profils PFGE lorsque ceci sont connus, suivant la méthode décrite en détail dans l’étude de Félix et al. (2018) en se basant sur un panel de 399 souches typées à la fois par la méthode PFGE et par la technique MLST. Ces souches sont présentes dans une base de données accessible par le laboratoire de Boulogne sur Mer</w:t>
      </w:r>
      <w:r w:rsidR="006C5F6A">
        <w:rPr>
          <w:sz w:val="24"/>
          <w:szCs w:val="24"/>
        </w:rPr>
        <w:t xml:space="preserve"> </w:t>
      </w:r>
      <w:r w:rsidR="006C5F6A">
        <w:rPr>
          <w:sz w:val="24"/>
          <w:szCs w:val="24"/>
        </w:rPr>
        <w:fldChar w:fldCharType="begin"/>
      </w:r>
      <w:r w:rsidR="006C5F6A">
        <w:rPr>
          <w:sz w:val="24"/>
          <w:szCs w:val="24"/>
        </w:rPr>
        <w:instrText xml:space="preserve"> ADDIN EN.CITE &lt;EndNote&gt;&lt;Cite&gt;&lt;Author&gt;Felix&lt;/Author&gt;&lt;Year&gt;2017&lt;/Year&gt;&lt;RecNum&gt;30&lt;/RecNum&gt;&lt;DisplayText&gt;(Felix&lt;style face="italic"&gt; et al.&lt;/style&gt;, 2017)&lt;/DisplayText&gt;&lt;record&gt;&lt;rec-number&gt;30&lt;/rec-number&gt;&lt;foreign-keys&gt;&lt;key app="EN" db-id="fwvzxee9of5t26ez0psxd5t6r9r0xv0zxsvx" timestamp="1621416092"&gt;30&lt;/key&gt;&lt;/foreign-keys&gt;&lt;ref-type name="Journal Article"&gt;17&lt;/ref-type&gt;&lt;contributors&gt;&lt;authors&gt;&lt;author&gt;Felix, B&lt;/author&gt;&lt;author&gt;Michelon, D.&lt;/author&gt;&lt;author&gt;Lombard, B.&lt;/author&gt;&lt;author&gt;Albert, D.&lt;/author&gt;&lt;author&gt;Barre, L.&lt;/author&gt;&lt;author&gt;Feurer, C.&lt;/author&gt;&lt;author&gt;Roussel, S.&lt;/author&gt;&lt;/authors&gt;&lt;/contributors&gt;&lt;titles&gt;&lt;title&gt;A shared molecular database for the surveillance of Listeria monocytogenes in the food chain in France&lt;/title&gt;&lt;secondary-title&gt;Bulletin Epidémiologique&lt;/secondary-title&gt;&lt;/titles&gt;&lt;pages&gt;82 - 87&lt;/pages&gt;&lt;number&gt;77&lt;/number&gt;&lt;dates&gt;&lt;year&gt;2017&lt;/year&gt;&lt;/dates&gt;&lt;urls&gt;&lt;/urls&gt;&lt;/record&gt;&lt;/Cite&gt;&lt;/EndNote&gt;</w:instrText>
      </w:r>
      <w:r w:rsidR="006C5F6A">
        <w:rPr>
          <w:sz w:val="24"/>
          <w:szCs w:val="24"/>
        </w:rPr>
        <w:fldChar w:fldCharType="separate"/>
      </w:r>
      <w:r w:rsidR="006C5F6A">
        <w:rPr>
          <w:noProof/>
          <w:sz w:val="24"/>
          <w:szCs w:val="24"/>
        </w:rPr>
        <w:t>(Felix</w:t>
      </w:r>
      <w:r w:rsidR="006C5F6A" w:rsidRPr="006C5F6A">
        <w:rPr>
          <w:i/>
          <w:noProof/>
          <w:sz w:val="24"/>
          <w:szCs w:val="24"/>
        </w:rPr>
        <w:t xml:space="preserve"> et al.</w:t>
      </w:r>
      <w:r w:rsidR="006C5F6A">
        <w:rPr>
          <w:noProof/>
          <w:sz w:val="24"/>
          <w:szCs w:val="24"/>
        </w:rPr>
        <w:t>, 2017)</w:t>
      </w:r>
      <w:r w:rsidR="006C5F6A">
        <w:rPr>
          <w:sz w:val="24"/>
          <w:szCs w:val="24"/>
        </w:rPr>
        <w:fldChar w:fldCharType="end"/>
      </w:r>
      <w:r w:rsidRPr="0053611C">
        <w:rPr>
          <w:sz w:val="24"/>
          <w:szCs w:val="24"/>
        </w:rPr>
        <w:t>.</w:t>
      </w:r>
    </w:p>
    <w:p w14:paraId="22183070"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15070A23" w14:textId="77777777" w:rsidR="0053611C" w:rsidRPr="0053611C" w:rsidRDefault="0053611C" w:rsidP="0053611C">
      <w:pPr>
        <w:pStyle w:val="En-tte"/>
        <w:tabs>
          <w:tab w:val="right" w:leader="underscore" w:pos="0"/>
          <w:tab w:val="right" w:leader="underscore" w:pos="709"/>
          <w:tab w:val="left" w:pos="5760"/>
        </w:tabs>
        <w:rPr>
          <w:sz w:val="24"/>
          <w:szCs w:val="24"/>
        </w:rPr>
      </w:pPr>
      <w:r w:rsidRPr="0053611C">
        <w:rPr>
          <w:b/>
          <w:sz w:val="24"/>
          <w:szCs w:val="24"/>
        </w:rPr>
        <w:t>Etape 1.3 :</w:t>
      </w:r>
      <w:r w:rsidRPr="0053611C">
        <w:rPr>
          <w:sz w:val="24"/>
          <w:szCs w:val="24"/>
        </w:rPr>
        <w:t xml:space="preserve"> Lorsque les </w:t>
      </w:r>
      <w:proofErr w:type="spellStart"/>
      <w:r w:rsidRPr="0053611C">
        <w:rPr>
          <w:sz w:val="24"/>
          <w:szCs w:val="24"/>
        </w:rPr>
        <w:t>CCs</w:t>
      </w:r>
      <w:proofErr w:type="spellEnd"/>
      <w:r w:rsidRPr="0053611C">
        <w:rPr>
          <w:sz w:val="24"/>
          <w:szCs w:val="24"/>
        </w:rPr>
        <w:t xml:space="preserve"> n’ont pu être déterminés dans la tâche 1.2. </w:t>
      </w:r>
      <w:proofErr w:type="gramStart"/>
      <w:r w:rsidRPr="0053611C">
        <w:rPr>
          <w:sz w:val="24"/>
          <w:szCs w:val="24"/>
        </w:rPr>
        <w:t>car</w:t>
      </w:r>
      <w:proofErr w:type="gramEnd"/>
      <w:r w:rsidRPr="0053611C">
        <w:rPr>
          <w:sz w:val="24"/>
          <w:szCs w:val="24"/>
        </w:rPr>
        <w:t xml:space="preserve"> ils ne sont pas connus dans les bases de données existantes, l’ADN génomique des isolats sera extrait sur la base de la procédure ANSES LSA-INS-1221. Les ADN extraits seront envoyés à un prestataire extérieur pour le séquençage du génome. Ensuite, nous analyserons les données pour déterminer le CC MLST via le logiciel </w:t>
      </w:r>
      <w:proofErr w:type="spellStart"/>
      <w:r w:rsidRPr="0053611C">
        <w:rPr>
          <w:sz w:val="24"/>
          <w:szCs w:val="24"/>
        </w:rPr>
        <w:t>BioNumerics</w:t>
      </w:r>
      <w:proofErr w:type="spellEnd"/>
      <w:r w:rsidRPr="0053611C">
        <w:rPr>
          <w:sz w:val="24"/>
          <w:szCs w:val="24"/>
        </w:rPr>
        <w:t xml:space="preserve"> 7.3.1 et en suivant la nomenclature de la base de données public https://bigsdb.pasteur.fr/listeria/listeria.html.</w:t>
      </w:r>
    </w:p>
    <w:p w14:paraId="4A1CA533"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47FA701E" w14:textId="77777777" w:rsidR="0053611C" w:rsidRPr="0053611C" w:rsidRDefault="0053611C" w:rsidP="0053611C">
      <w:pPr>
        <w:pStyle w:val="En-tte"/>
        <w:tabs>
          <w:tab w:val="right" w:leader="underscore" w:pos="0"/>
          <w:tab w:val="right" w:leader="underscore" w:pos="709"/>
          <w:tab w:val="left" w:pos="5760"/>
        </w:tabs>
        <w:rPr>
          <w:sz w:val="24"/>
          <w:szCs w:val="24"/>
        </w:rPr>
      </w:pPr>
      <w:r w:rsidRPr="0053611C">
        <w:rPr>
          <w:b/>
          <w:sz w:val="24"/>
          <w:szCs w:val="24"/>
        </w:rPr>
        <w:t>Etape 1.4 :</w:t>
      </w:r>
      <w:r w:rsidRPr="0053611C">
        <w:rPr>
          <w:sz w:val="24"/>
          <w:szCs w:val="24"/>
        </w:rPr>
        <w:t xml:space="preserve"> Avec les données des tâches 1.2 et 1.3, nous pourrons déterminer les fréquences de CC dans la filière des produits de la pêche et ainsi définir la diversité génétique de L. </w:t>
      </w:r>
      <w:proofErr w:type="spellStart"/>
      <w:r w:rsidRPr="0053611C">
        <w:rPr>
          <w:sz w:val="24"/>
          <w:szCs w:val="24"/>
        </w:rPr>
        <w:t>monocytogenes</w:t>
      </w:r>
      <w:proofErr w:type="spellEnd"/>
      <w:r w:rsidRPr="0053611C">
        <w:rPr>
          <w:sz w:val="24"/>
          <w:szCs w:val="24"/>
        </w:rPr>
        <w:t xml:space="preserve">. Ensuite, nous comparerons ces données avec les </w:t>
      </w:r>
      <w:proofErr w:type="spellStart"/>
      <w:r w:rsidRPr="0053611C">
        <w:rPr>
          <w:sz w:val="24"/>
          <w:szCs w:val="24"/>
        </w:rPr>
        <w:t>CCs</w:t>
      </w:r>
      <w:proofErr w:type="spellEnd"/>
      <w:r w:rsidRPr="0053611C">
        <w:rPr>
          <w:sz w:val="24"/>
          <w:szCs w:val="24"/>
        </w:rPr>
        <w:t xml:space="preserve"> présents dans d’autres filières agro-alimentaires et dans des cas épidémiques grâce à la base du laboratoire de Maisons-Alfort.</w:t>
      </w:r>
    </w:p>
    <w:p w14:paraId="6DABF986"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79908695" w14:textId="2AA0D8B3" w:rsidR="0053611C" w:rsidRPr="00C4046D" w:rsidRDefault="0053611C" w:rsidP="0053611C">
      <w:pPr>
        <w:pStyle w:val="En-tte"/>
        <w:tabs>
          <w:tab w:val="right" w:leader="underscore" w:pos="0"/>
          <w:tab w:val="right" w:leader="underscore" w:pos="709"/>
          <w:tab w:val="left" w:pos="5760"/>
        </w:tabs>
        <w:rPr>
          <w:b/>
          <w:sz w:val="24"/>
          <w:szCs w:val="24"/>
        </w:rPr>
      </w:pPr>
      <w:r w:rsidRPr="00C4046D">
        <w:rPr>
          <w:b/>
          <w:sz w:val="24"/>
          <w:szCs w:val="24"/>
        </w:rPr>
        <w:t xml:space="preserve">Etape 2 : Développement d’une PCR ciblant la plus grande diversité de </w:t>
      </w:r>
      <w:proofErr w:type="spellStart"/>
      <w:r w:rsidRPr="00C4046D">
        <w:rPr>
          <w:b/>
          <w:sz w:val="24"/>
          <w:szCs w:val="24"/>
        </w:rPr>
        <w:t>CC</w:t>
      </w:r>
      <w:r w:rsidR="007030A0">
        <w:rPr>
          <w:b/>
          <w:sz w:val="24"/>
          <w:szCs w:val="24"/>
        </w:rPr>
        <w:t>s</w:t>
      </w:r>
      <w:proofErr w:type="spellEnd"/>
      <w:r w:rsidRPr="00C4046D">
        <w:rPr>
          <w:b/>
          <w:sz w:val="24"/>
          <w:szCs w:val="24"/>
        </w:rPr>
        <w:t xml:space="preserve"> connus dans la filière.</w:t>
      </w:r>
    </w:p>
    <w:p w14:paraId="3887FA8A"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53A35613" w14:textId="3C719C15" w:rsidR="0053611C" w:rsidRPr="0053611C" w:rsidRDefault="0053611C" w:rsidP="0053611C">
      <w:pPr>
        <w:pStyle w:val="En-tte"/>
        <w:tabs>
          <w:tab w:val="right" w:leader="underscore" w:pos="0"/>
          <w:tab w:val="right" w:leader="underscore" w:pos="709"/>
          <w:tab w:val="left" w:pos="5760"/>
        </w:tabs>
        <w:rPr>
          <w:sz w:val="24"/>
          <w:szCs w:val="24"/>
        </w:rPr>
      </w:pPr>
      <w:r w:rsidRPr="0053611C">
        <w:rPr>
          <w:b/>
          <w:sz w:val="24"/>
          <w:szCs w:val="24"/>
        </w:rPr>
        <w:t>Etape 2.1 :</w:t>
      </w:r>
      <w:r w:rsidRPr="0053611C">
        <w:rPr>
          <w:sz w:val="24"/>
          <w:szCs w:val="24"/>
        </w:rPr>
        <w:t xml:space="preserve"> La PCR sera développée pour cibler le maximum de diversité génétique. Cette analyse se base sur la diversité décrite dans </w:t>
      </w:r>
      <w:r w:rsidR="006C5F6A">
        <w:rPr>
          <w:sz w:val="24"/>
          <w:szCs w:val="24"/>
        </w:rPr>
        <w:t>l’étape 1</w:t>
      </w:r>
      <w:r w:rsidRPr="0053611C">
        <w:rPr>
          <w:sz w:val="24"/>
          <w:szCs w:val="24"/>
        </w:rPr>
        <w:t xml:space="preserve">, supplémentée de la diversité génétique décrite dans trois publications décrivant la diversité génétique alimentaire des souches de </w:t>
      </w:r>
      <w:r w:rsidRPr="008337DA">
        <w:rPr>
          <w:i/>
          <w:sz w:val="24"/>
          <w:szCs w:val="24"/>
        </w:rPr>
        <w:t xml:space="preserve">L. </w:t>
      </w:r>
      <w:proofErr w:type="spellStart"/>
      <w:r w:rsidRPr="008337DA">
        <w:rPr>
          <w:i/>
          <w:sz w:val="24"/>
          <w:szCs w:val="24"/>
        </w:rPr>
        <w:t>monocytogenes</w:t>
      </w:r>
      <w:proofErr w:type="spellEnd"/>
      <w:r w:rsidRPr="008337DA">
        <w:rPr>
          <w:i/>
          <w:sz w:val="24"/>
          <w:szCs w:val="24"/>
        </w:rPr>
        <w:t xml:space="preserve"> </w:t>
      </w:r>
      <w:r w:rsidRPr="0053611C">
        <w:rPr>
          <w:sz w:val="24"/>
          <w:szCs w:val="24"/>
        </w:rPr>
        <w:t>dans l’alimentation :</w:t>
      </w:r>
      <w:r w:rsidR="002A3713">
        <w:rPr>
          <w:sz w:val="24"/>
          <w:szCs w:val="24"/>
        </w:rPr>
        <w:t xml:space="preserve"> </w:t>
      </w:r>
      <w:r w:rsidR="00EF3600">
        <w:rPr>
          <w:sz w:val="24"/>
          <w:szCs w:val="24"/>
        </w:rPr>
        <w:fldChar w:fldCharType="begin">
          <w:fldData xml:space="preserve">PEVuZE5vdGU+PENpdGU+PEF1dGhvcj5Gw6lsaXg8L0F1dGhvcj48WWVhcj4yMDE4PC9ZZWFyPjxS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</w:fldData>
        </w:fldChar>
      </w:r>
      <w:r w:rsidR="00EF3600">
        <w:rPr>
          <w:sz w:val="24"/>
          <w:szCs w:val="24"/>
        </w:rPr>
        <w:instrText xml:space="preserve"> ADDIN EN.CITE </w:instrText>
      </w:r>
      <w:r w:rsidR="00EF3600">
        <w:rPr>
          <w:sz w:val="24"/>
          <w:szCs w:val="24"/>
        </w:rPr>
        <w:fldChar w:fldCharType="begin">
          <w:fldData xml:space="preserve">PEVuZE5vdGU+PENpdGU+PEF1dGhvcj5Gw6lsaXg8L0F1dGhvcj48WWVhcj4yMDE4PC9ZZWFyPjxS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</w:fldData>
        </w:fldChar>
      </w:r>
      <w:r w:rsidR="00EF3600">
        <w:rPr>
          <w:sz w:val="24"/>
          <w:szCs w:val="24"/>
        </w:rPr>
        <w:instrText xml:space="preserve"> ADDIN EN.CITE.DATA </w:instrText>
      </w:r>
      <w:r w:rsidR="00EF3600">
        <w:rPr>
          <w:sz w:val="24"/>
          <w:szCs w:val="24"/>
        </w:rPr>
      </w:r>
      <w:r w:rsidR="00EF3600">
        <w:rPr>
          <w:sz w:val="24"/>
          <w:szCs w:val="24"/>
        </w:rPr>
        <w:fldChar w:fldCharType="end"/>
      </w:r>
      <w:r w:rsidR="00EF3600">
        <w:rPr>
          <w:sz w:val="24"/>
          <w:szCs w:val="24"/>
        </w:rPr>
      </w:r>
      <w:r w:rsidR="00EF3600">
        <w:rPr>
          <w:sz w:val="24"/>
          <w:szCs w:val="24"/>
        </w:rPr>
        <w:fldChar w:fldCharType="separate"/>
      </w:r>
      <w:r w:rsidR="00EF3600">
        <w:rPr>
          <w:noProof/>
          <w:sz w:val="24"/>
          <w:szCs w:val="24"/>
        </w:rPr>
        <w:t>(Maury</w:t>
      </w:r>
      <w:r w:rsidR="00EF3600" w:rsidRPr="00EF3600">
        <w:rPr>
          <w:i/>
          <w:noProof/>
          <w:sz w:val="24"/>
          <w:szCs w:val="24"/>
        </w:rPr>
        <w:t xml:space="preserve"> et al.</w:t>
      </w:r>
      <w:r w:rsidR="00EF3600">
        <w:rPr>
          <w:noProof/>
          <w:sz w:val="24"/>
          <w:szCs w:val="24"/>
        </w:rPr>
        <w:t>, 2016, Nielsen</w:t>
      </w:r>
      <w:r w:rsidR="00EF3600" w:rsidRPr="00EF3600">
        <w:rPr>
          <w:i/>
          <w:noProof/>
          <w:sz w:val="24"/>
          <w:szCs w:val="24"/>
        </w:rPr>
        <w:t xml:space="preserve"> et al.</w:t>
      </w:r>
      <w:r w:rsidR="00EF3600">
        <w:rPr>
          <w:noProof/>
          <w:sz w:val="24"/>
          <w:szCs w:val="24"/>
        </w:rPr>
        <w:t>, 2017, Félix</w:t>
      </w:r>
      <w:r w:rsidR="00EF3600" w:rsidRPr="00EF3600">
        <w:rPr>
          <w:i/>
          <w:noProof/>
          <w:sz w:val="24"/>
          <w:szCs w:val="24"/>
        </w:rPr>
        <w:t xml:space="preserve"> et al.</w:t>
      </w:r>
      <w:r w:rsidR="00EF3600">
        <w:rPr>
          <w:noProof/>
          <w:sz w:val="24"/>
          <w:szCs w:val="24"/>
        </w:rPr>
        <w:t>, 2018)</w:t>
      </w:r>
      <w:r w:rsidR="00EF3600">
        <w:rPr>
          <w:sz w:val="24"/>
          <w:szCs w:val="24"/>
        </w:rPr>
        <w:fldChar w:fldCharType="end"/>
      </w:r>
      <w:r w:rsidRPr="0053611C">
        <w:rPr>
          <w:sz w:val="24"/>
          <w:szCs w:val="24"/>
        </w:rPr>
        <w:t xml:space="preserve">. Sur la base de la diversité cumulée de ces études, les </w:t>
      </w:r>
      <w:proofErr w:type="spellStart"/>
      <w:r w:rsidRPr="0053611C">
        <w:rPr>
          <w:sz w:val="24"/>
          <w:szCs w:val="24"/>
        </w:rPr>
        <w:t>CCs</w:t>
      </w:r>
      <w:proofErr w:type="spellEnd"/>
      <w:r w:rsidRPr="0053611C">
        <w:rPr>
          <w:sz w:val="24"/>
          <w:szCs w:val="24"/>
        </w:rPr>
        <w:t xml:space="preserve"> les plus fréquents pour couvrir plus de 95% de la diversité génétique circulant dans la filière produit de la pêche seront sélectionnés. Sur la base des résultats préliminaires, la PCR ciblera 28 à 30 </w:t>
      </w:r>
      <w:proofErr w:type="spellStart"/>
      <w:r w:rsidRPr="0053611C">
        <w:rPr>
          <w:sz w:val="24"/>
          <w:szCs w:val="24"/>
        </w:rPr>
        <w:t>CCs</w:t>
      </w:r>
      <w:proofErr w:type="spellEnd"/>
      <w:r w:rsidRPr="0053611C">
        <w:rPr>
          <w:sz w:val="24"/>
          <w:szCs w:val="24"/>
        </w:rPr>
        <w:t>.</w:t>
      </w:r>
    </w:p>
    <w:p w14:paraId="3C29FDDB"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31FC8410" w14:textId="274F505B" w:rsidR="0053611C" w:rsidRPr="0053611C" w:rsidRDefault="0053611C" w:rsidP="0053611C">
      <w:pPr>
        <w:pStyle w:val="En-tte"/>
        <w:tabs>
          <w:tab w:val="right" w:leader="underscore" w:pos="0"/>
          <w:tab w:val="right" w:leader="underscore" w:pos="709"/>
          <w:tab w:val="left" w:pos="5760"/>
        </w:tabs>
        <w:rPr>
          <w:sz w:val="24"/>
          <w:szCs w:val="24"/>
        </w:rPr>
      </w:pPr>
      <w:r w:rsidRPr="0053611C">
        <w:rPr>
          <w:b/>
          <w:sz w:val="24"/>
          <w:szCs w:val="24"/>
        </w:rPr>
        <w:t>Etape 2.2 :</w:t>
      </w:r>
      <w:r w:rsidRPr="0053611C">
        <w:rPr>
          <w:sz w:val="24"/>
          <w:szCs w:val="24"/>
        </w:rPr>
        <w:t xml:space="preserve"> Le design des amorces et des sondes de PCR en temps réel sera réalisé suivant un schéma polyvalent compatible avec les équipements disponibles au </w:t>
      </w:r>
      <w:proofErr w:type="spellStart"/>
      <w:r w:rsidRPr="0053611C">
        <w:rPr>
          <w:sz w:val="24"/>
          <w:szCs w:val="24"/>
        </w:rPr>
        <w:t>LSAl</w:t>
      </w:r>
      <w:proofErr w:type="spellEnd"/>
      <w:r w:rsidRPr="0053611C">
        <w:rPr>
          <w:sz w:val="24"/>
          <w:szCs w:val="24"/>
        </w:rPr>
        <w:t xml:space="preserve">. Un panel de génome couvrant les 28-30 </w:t>
      </w:r>
      <w:proofErr w:type="spellStart"/>
      <w:r w:rsidRPr="0053611C">
        <w:rPr>
          <w:sz w:val="24"/>
          <w:szCs w:val="24"/>
        </w:rPr>
        <w:t>CCs</w:t>
      </w:r>
      <w:proofErr w:type="spellEnd"/>
      <w:r w:rsidRPr="0053611C">
        <w:rPr>
          <w:sz w:val="24"/>
          <w:szCs w:val="24"/>
        </w:rPr>
        <w:t xml:space="preserve"> identifiés dans la Tâche 2.1 va être constitué pour définir un panel de génome regroupant environ </w:t>
      </w:r>
      <w:r w:rsidR="008337DA">
        <w:rPr>
          <w:sz w:val="24"/>
          <w:szCs w:val="24"/>
        </w:rPr>
        <w:t>40</w:t>
      </w:r>
      <w:r w:rsidRPr="0053611C">
        <w:rPr>
          <w:sz w:val="24"/>
          <w:szCs w:val="24"/>
        </w:rPr>
        <w:t xml:space="preserve"> génomes complets de souches pour chaque CC (issu de la collection de génome du </w:t>
      </w:r>
      <w:proofErr w:type="spellStart"/>
      <w:r w:rsidRPr="0053611C">
        <w:rPr>
          <w:sz w:val="24"/>
          <w:szCs w:val="24"/>
        </w:rPr>
        <w:t>LSAl</w:t>
      </w:r>
      <w:proofErr w:type="spellEnd"/>
      <w:r w:rsidRPr="0053611C">
        <w:rPr>
          <w:sz w:val="24"/>
          <w:szCs w:val="24"/>
        </w:rPr>
        <w:t xml:space="preserve"> et des bases de données publique internationale : NCBI, ENA au total 1120 à 1200 génomes complets). Ces génomes devront couvrir le maximum de diversité au sein de chaque CC, diversité géographique, diversité de </w:t>
      </w:r>
      <w:r w:rsidRPr="0053611C">
        <w:rPr>
          <w:sz w:val="24"/>
          <w:szCs w:val="24"/>
        </w:rPr>
        <w:lastRenderedPageBreak/>
        <w:t xml:space="preserve">sources, diversité de </w:t>
      </w:r>
      <w:proofErr w:type="spellStart"/>
      <w:r w:rsidRPr="0053611C">
        <w:rPr>
          <w:sz w:val="24"/>
          <w:szCs w:val="24"/>
        </w:rPr>
        <w:t>STs</w:t>
      </w:r>
      <w:proofErr w:type="spellEnd"/>
      <w:r w:rsidRPr="0053611C">
        <w:rPr>
          <w:sz w:val="24"/>
          <w:szCs w:val="24"/>
        </w:rPr>
        <w:t xml:space="preserve"> au sein du même CC. </w:t>
      </w:r>
      <w:r w:rsidR="008337DA" w:rsidRPr="0053611C">
        <w:rPr>
          <w:sz w:val="24"/>
          <w:szCs w:val="24"/>
        </w:rPr>
        <w:t>En utilisant</w:t>
      </w:r>
      <w:r w:rsidR="008337DA">
        <w:rPr>
          <w:sz w:val="24"/>
          <w:szCs w:val="24"/>
        </w:rPr>
        <w:t xml:space="preserve"> un outil bio-information développé en interne à l’ANSES</w:t>
      </w:r>
      <w:r w:rsidR="008337DA" w:rsidRPr="0053611C">
        <w:rPr>
          <w:sz w:val="24"/>
          <w:szCs w:val="24"/>
        </w:rPr>
        <w:t xml:space="preserve">, la position consensus du marqueur de chaque CC sera déterminée. </w:t>
      </w:r>
      <w:r w:rsidRPr="0053611C">
        <w:rPr>
          <w:sz w:val="24"/>
          <w:szCs w:val="24"/>
        </w:rPr>
        <w:t xml:space="preserve">Ce type de PCR est utilisable dans un système de PCR simplex, compatible avec le système de PCR haut débit disponible sur la Plateforme </w:t>
      </w:r>
      <w:proofErr w:type="spellStart"/>
      <w:r w:rsidRPr="0053611C">
        <w:rPr>
          <w:sz w:val="24"/>
          <w:szCs w:val="24"/>
        </w:rPr>
        <w:t>Identypath</w:t>
      </w:r>
      <w:proofErr w:type="spellEnd"/>
      <w:r w:rsidRPr="0053611C">
        <w:rPr>
          <w:sz w:val="24"/>
          <w:szCs w:val="24"/>
        </w:rPr>
        <w:t xml:space="preserve"> du </w:t>
      </w:r>
      <w:proofErr w:type="spellStart"/>
      <w:r w:rsidRPr="0053611C">
        <w:rPr>
          <w:sz w:val="24"/>
          <w:szCs w:val="24"/>
        </w:rPr>
        <w:t>LSAl</w:t>
      </w:r>
      <w:proofErr w:type="spellEnd"/>
      <w:r w:rsidRPr="0053611C">
        <w:rPr>
          <w:sz w:val="24"/>
          <w:szCs w:val="24"/>
        </w:rPr>
        <w:t>.</w:t>
      </w:r>
    </w:p>
    <w:p w14:paraId="3F633AEC"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5CD832CB" w14:textId="1CF99E14" w:rsidR="0053611C" w:rsidRPr="0053611C" w:rsidRDefault="0053611C" w:rsidP="0053611C">
      <w:pPr>
        <w:pStyle w:val="En-tte"/>
        <w:tabs>
          <w:tab w:val="right" w:leader="underscore" w:pos="0"/>
          <w:tab w:val="right" w:leader="underscore" w:pos="709"/>
          <w:tab w:val="left" w:pos="5760"/>
        </w:tabs>
        <w:rPr>
          <w:sz w:val="24"/>
          <w:szCs w:val="24"/>
        </w:rPr>
      </w:pPr>
      <w:r w:rsidRPr="0053611C">
        <w:rPr>
          <w:sz w:val="24"/>
          <w:szCs w:val="24"/>
        </w:rPr>
        <w:t xml:space="preserve">Une seconde approche consiste dans réalisation d’une PCR </w:t>
      </w:r>
      <w:r w:rsidR="008337DA">
        <w:rPr>
          <w:sz w:val="24"/>
          <w:szCs w:val="24"/>
        </w:rPr>
        <w:t>triplex en</w:t>
      </w:r>
      <w:r w:rsidR="008337DA" w:rsidRPr="0053611C">
        <w:rPr>
          <w:sz w:val="24"/>
          <w:szCs w:val="24"/>
        </w:rPr>
        <w:t xml:space="preserve"> </w:t>
      </w:r>
      <w:r w:rsidR="008337DA">
        <w:rPr>
          <w:sz w:val="24"/>
          <w:szCs w:val="24"/>
        </w:rPr>
        <w:t>réalisant trois PCR simultanément dans un même mix réactionnel.</w:t>
      </w:r>
      <w:r w:rsidRPr="0053611C">
        <w:rPr>
          <w:sz w:val="24"/>
          <w:szCs w:val="24"/>
        </w:rPr>
        <w:t xml:space="preserve"> </w:t>
      </w:r>
      <w:r w:rsidR="008337DA">
        <w:rPr>
          <w:sz w:val="24"/>
          <w:szCs w:val="24"/>
        </w:rPr>
        <w:t>U</w:t>
      </w:r>
      <w:r w:rsidRPr="0053611C">
        <w:rPr>
          <w:sz w:val="24"/>
          <w:szCs w:val="24"/>
        </w:rPr>
        <w:t xml:space="preserve">ne première PCR triplex identifiera trois groupes de trois </w:t>
      </w:r>
      <w:proofErr w:type="spellStart"/>
      <w:r w:rsidRPr="0053611C">
        <w:rPr>
          <w:sz w:val="24"/>
          <w:szCs w:val="24"/>
        </w:rPr>
        <w:t>CCs</w:t>
      </w:r>
      <w:proofErr w:type="spellEnd"/>
      <w:r w:rsidRPr="0053611C">
        <w:rPr>
          <w:sz w:val="24"/>
          <w:szCs w:val="24"/>
        </w:rPr>
        <w:t xml:space="preserve"> (les plus fréquemment identifiées dans l’alimentation), une seconde PCR triplex permettra d’identifier trois groupes de trois </w:t>
      </w:r>
      <w:proofErr w:type="spellStart"/>
      <w:r w:rsidRPr="0053611C">
        <w:rPr>
          <w:sz w:val="24"/>
          <w:szCs w:val="24"/>
        </w:rPr>
        <w:t>CCs</w:t>
      </w:r>
      <w:proofErr w:type="spellEnd"/>
      <w:r w:rsidRPr="0053611C">
        <w:rPr>
          <w:sz w:val="24"/>
          <w:szCs w:val="24"/>
        </w:rPr>
        <w:t xml:space="preserve"> (moins fréquents dans l’alimentation) et une troisième PCR triplex qui permettra d’identifier les CC les plus rares dans l’alimentation. Une seconde vague de trois PCR triplex permettra de distinguer les CC d’appartenance des souches. Avec ce schéma de PCR, il sera possible en deux vagues d’identifier le CC d’appartenance de chaque souche testée.</w:t>
      </w:r>
    </w:p>
    <w:p w14:paraId="6D218563" w14:textId="77777777" w:rsidR="0053611C" w:rsidRPr="0053611C" w:rsidRDefault="0053611C" w:rsidP="0053611C">
      <w:pPr>
        <w:pStyle w:val="En-tte"/>
        <w:tabs>
          <w:tab w:val="right" w:leader="underscore" w:pos="0"/>
          <w:tab w:val="right" w:leader="underscore" w:pos="709"/>
          <w:tab w:val="left" w:pos="5760"/>
        </w:tabs>
        <w:rPr>
          <w:sz w:val="24"/>
          <w:szCs w:val="24"/>
        </w:rPr>
      </w:pPr>
      <w:r w:rsidRPr="0053611C">
        <w:rPr>
          <w:sz w:val="24"/>
          <w:szCs w:val="24"/>
        </w:rPr>
        <w:t xml:space="preserve">Le design des sondes et des amorces de PCR sera défini à l’aide du logiciel </w:t>
      </w:r>
      <w:proofErr w:type="spellStart"/>
      <w:r w:rsidRPr="0053611C">
        <w:rPr>
          <w:sz w:val="24"/>
          <w:szCs w:val="24"/>
        </w:rPr>
        <w:t>Beacon</w:t>
      </w:r>
      <w:proofErr w:type="spellEnd"/>
      <w:r w:rsidRPr="0053611C">
        <w:rPr>
          <w:sz w:val="24"/>
          <w:szCs w:val="24"/>
        </w:rPr>
        <w:t xml:space="preserve"> designer.</w:t>
      </w:r>
    </w:p>
    <w:p w14:paraId="3A071988"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3D6B45E8" w14:textId="77777777" w:rsidR="0053611C" w:rsidRPr="0053611C" w:rsidRDefault="0053611C" w:rsidP="0053611C">
      <w:pPr>
        <w:pStyle w:val="En-tte"/>
        <w:tabs>
          <w:tab w:val="right" w:leader="underscore" w:pos="0"/>
          <w:tab w:val="right" w:leader="underscore" w:pos="709"/>
          <w:tab w:val="left" w:pos="5760"/>
        </w:tabs>
        <w:rPr>
          <w:sz w:val="24"/>
          <w:szCs w:val="24"/>
        </w:rPr>
      </w:pPr>
      <w:r w:rsidRPr="0053611C">
        <w:rPr>
          <w:b/>
          <w:sz w:val="24"/>
          <w:szCs w:val="24"/>
        </w:rPr>
        <w:t>Etape 2.3 :</w:t>
      </w:r>
      <w:r w:rsidRPr="0053611C">
        <w:rPr>
          <w:sz w:val="24"/>
          <w:szCs w:val="24"/>
        </w:rPr>
        <w:t xml:space="preserve"> Pré-tests des cibles génétiques</w:t>
      </w:r>
    </w:p>
    <w:p w14:paraId="5765A468" w14:textId="155289EC" w:rsidR="0053611C" w:rsidRPr="0053611C" w:rsidRDefault="0053611C" w:rsidP="0053611C">
      <w:pPr>
        <w:pStyle w:val="En-tte"/>
        <w:tabs>
          <w:tab w:val="right" w:leader="underscore" w:pos="0"/>
          <w:tab w:val="right" w:leader="underscore" w:pos="709"/>
          <w:tab w:val="left" w:pos="5760"/>
        </w:tabs>
        <w:rPr>
          <w:sz w:val="24"/>
          <w:szCs w:val="24"/>
        </w:rPr>
      </w:pPr>
      <w:r w:rsidRPr="0053611C">
        <w:rPr>
          <w:sz w:val="24"/>
          <w:szCs w:val="24"/>
        </w:rPr>
        <w:t xml:space="preserve">Les sondes et </w:t>
      </w:r>
      <w:r w:rsidR="008337DA">
        <w:rPr>
          <w:sz w:val="24"/>
          <w:szCs w:val="24"/>
        </w:rPr>
        <w:t>amorces</w:t>
      </w:r>
      <w:r w:rsidRPr="0053611C">
        <w:rPr>
          <w:sz w:val="24"/>
          <w:szCs w:val="24"/>
        </w:rPr>
        <w:t xml:space="preserve"> définies pour chaque CC seront testées en simplex sur un appareil </w:t>
      </w:r>
      <w:r w:rsidR="002E55B1" w:rsidRPr="0053611C">
        <w:rPr>
          <w:sz w:val="24"/>
          <w:szCs w:val="24"/>
        </w:rPr>
        <w:t xml:space="preserve">de PCR haut débit, </w:t>
      </w:r>
      <w:proofErr w:type="spellStart"/>
      <w:r w:rsidR="002E55B1">
        <w:rPr>
          <w:sz w:val="24"/>
          <w:szCs w:val="24"/>
        </w:rPr>
        <w:t>Biomark</w:t>
      </w:r>
      <w:proofErr w:type="spellEnd"/>
      <w:r w:rsidR="002E55B1">
        <w:rPr>
          <w:sz w:val="24"/>
          <w:szCs w:val="24"/>
        </w:rPr>
        <w:t xml:space="preserve"> sur un panel de souche restreint. </w:t>
      </w:r>
    </w:p>
    <w:p w14:paraId="7160FC6D"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30C0C8DA" w14:textId="460405AE" w:rsidR="0053611C" w:rsidRPr="0053611C" w:rsidRDefault="0053611C" w:rsidP="0053611C">
      <w:pPr>
        <w:pStyle w:val="En-tte"/>
        <w:tabs>
          <w:tab w:val="right" w:leader="underscore" w:pos="0"/>
          <w:tab w:val="right" w:leader="underscore" w:pos="709"/>
          <w:tab w:val="left" w:pos="5760"/>
        </w:tabs>
        <w:rPr>
          <w:sz w:val="24"/>
          <w:szCs w:val="24"/>
        </w:rPr>
      </w:pPr>
      <w:r w:rsidRPr="0053611C">
        <w:rPr>
          <w:b/>
          <w:sz w:val="24"/>
          <w:szCs w:val="24"/>
        </w:rPr>
        <w:t>Etape 2.4 :</w:t>
      </w:r>
      <w:r w:rsidRPr="0053611C">
        <w:rPr>
          <w:sz w:val="24"/>
          <w:szCs w:val="24"/>
        </w:rPr>
        <w:t xml:space="preserve"> Définition du panel </w:t>
      </w:r>
      <w:r w:rsidR="002E55B1">
        <w:rPr>
          <w:sz w:val="24"/>
          <w:szCs w:val="24"/>
        </w:rPr>
        <w:t>d’</w:t>
      </w:r>
      <w:proofErr w:type="spellStart"/>
      <w:r w:rsidR="002E55B1">
        <w:rPr>
          <w:sz w:val="24"/>
          <w:szCs w:val="24"/>
        </w:rPr>
        <w:t>inclusivité</w:t>
      </w:r>
      <w:proofErr w:type="spellEnd"/>
      <w:r w:rsidR="002E55B1">
        <w:rPr>
          <w:sz w:val="24"/>
          <w:szCs w:val="24"/>
        </w:rPr>
        <w:t xml:space="preserve"> et de spécificité</w:t>
      </w:r>
    </w:p>
    <w:p w14:paraId="6EE6125B" w14:textId="6BDCD1EE" w:rsidR="0053611C" w:rsidRPr="0053611C" w:rsidRDefault="0053611C" w:rsidP="0053611C">
      <w:pPr>
        <w:pStyle w:val="En-tte"/>
        <w:tabs>
          <w:tab w:val="right" w:leader="underscore" w:pos="0"/>
          <w:tab w:val="right" w:leader="underscore" w:pos="709"/>
          <w:tab w:val="left" w:pos="5760"/>
        </w:tabs>
        <w:rPr>
          <w:sz w:val="24"/>
          <w:szCs w:val="24"/>
        </w:rPr>
      </w:pPr>
      <w:r w:rsidRPr="0053611C">
        <w:rPr>
          <w:sz w:val="24"/>
          <w:szCs w:val="24"/>
        </w:rPr>
        <w:t>Un panel de spécificité de 500 souches provenant d’origine variées en Europe et en France dans toutes les filières sera constitué</w:t>
      </w:r>
      <w:r w:rsidR="00560106">
        <w:rPr>
          <w:sz w:val="24"/>
          <w:szCs w:val="24"/>
        </w:rPr>
        <w:t xml:space="preserve"> sur la base des collections de l’IFIP, l’ADRIA de Quimper et de l’unité B3PA</w:t>
      </w:r>
      <w:r w:rsidRPr="0053611C">
        <w:rPr>
          <w:sz w:val="24"/>
          <w:szCs w:val="24"/>
        </w:rPr>
        <w:t xml:space="preserve">. Il inclura des souches appartenant aux 28-30 </w:t>
      </w:r>
      <w:proofErr w:type="spellStart"/>
      <w:r w:rsidRPr="0053611C">
        <w:rPr>
          <w:sz w:val="24"/>
          <w:szCs w:val="24"/>
        </w:rPr>
        <w:t>CCs</w:t>
      </w:r>
      <w:proofErr w:type="spellEnd"/>
      <w:r w:rsidRPr="0053611C">
        <w:rPr>
          <w:sz w:val="24"/>
          <w:szCs w:val="24"/>
        </w:rPr>
        <w:t xml:space="preserve"> recherchés, à des </w:t>
      </w:r>
      <w:proofErr w:type="spellStart"/>
      <w:r w:rsidRPr="0053611C">
        <w:rPr>
          <w:sz w:val="24"/>
          <w:szCs w:val="24"/>
        </w:rPr>
        <w:t>CC</w:t>
      </w:r>
      <w:r w:rsidR="007030A0">
        <w:rPr>
          <w:sz w:val="24"/>
          <w:szCs w:val="24"/>
        </w:rPr>
        <w:t>s</w:t>
      </w:r>
      <w:proofErr w:type="spellEnd"/>
      <w:r w:rsidRPr="0053611C">
        <w:rPr>
          <w:sz w:val="24"/>
          <w:szCs w:val="24"/>
        </w:rPr>
        <w:t xml:space="preserve"> non recherchés et des souches de </w:t>
      </w:r>
      <w:r w:rsidRPr="008C7900">
        <w:rPr>
          <w:i/>
          <w:sz w:val="24"/>
          <w:szCs w:val="24"/>
        </w:rPr>
        <w:t>Listeria</w:t>
      </w:r>
      <w:r w:rsidRPr="0053611C">
        <w:rPr>
          <w:sz w:val="24"/>
          <w:szCs w:val="24"/>
        </w:rPr>
        <w:t xml:space="preserve"> </w:t>
      </w:r>
      <w:r w:rsidRPr="008C7900">
        <w:rPr>
          <w:sz w:val="24"/>
          <w:szCs w:val="24"/>
        </w:rPr>
        <w:t>non</w:t>
      </w:r>
      <w:r w:rsidR="002E55B1">
        <w:rPr>
          <w:i/>
          <w:sz w:val="24"/>
          <w:szCs w:val="24"/>
        </w:rPr>
        <w:t>-</w:t>
      </w:r>
      <w:proofErr w:type="spellStart"/>
      <w:r w:rsidRPr="008C7900">
        <w:rPr>
          <w:i/>
          <w:sz w:val="24"/>
          <w:szCs w:val="24"/>
        </w:rPr>
        <w:t>monocytogenes</w:t>
      </w:r>
      <w:proofErr w:type="spellEnd"/>
      <w:r w:rsidRPr="0053611C">
        <w:rPr>
          <w:sz w:val="24"/>
          <w:szCs w:val="24"/>
        </w:rPr>
        <w:t xml:space="preserve"> ou de souches </w:t>
      </w:r>
      <w:r w:rsidRPr="008C7900">
        <w:rPr>
          <w:i/>
          <w:sz w:val="24"/>
          <w:szCs w:val="24"/>
        </w:rPr>
        <w:t>non</w:t>
      </w:r>
      <w:r w:rsidR="002E55B1" w:rsidRPr="008C7900">
        <w:rPr>
          <w:i/>
          <w:sz w:val="24"/>
          <w:szCs w:val="24"/>
        </w:rPr>
        <w:t>-</w:t>
      </w:r>
      <w:r w:rsidRPr="008C7900">
        <w:rPr>
          <w:i/>
          <w:sz w:val="24"/>
          <w:szCs w:val="24"/>
        </w:rPr>
        <w:t>Listeria</w:t>
      </w:r>
      <w:r w:rsidRPr="0053611C">
        <w:rPr>
          <w:sz w:val="24"/>
          <w:szCs w:val="24"/>
        </w:rPr>
        <w:t xml:space="preserve"> (-&gt;commande de souches et transport). Ce panel sera testé sur un système de PCR haut débit, </w:t>
      </w:r>
      <w:proofErr w:type="spellStart"/>
      <w:r w:rsidRPr="0053611C">
        <w:rPr>
          <w:sz w:val="24"/>
          <w:szCs w:val="24"/>
        </w:rPr>
        <w:t>Fluidigm</w:t>
      </w:r>
      <w:proofErr w:type="spellEnd"/>
      <w:r w:rsidRPr="0053611C">
        <w:rPr>
          <w:sz w:val="24"/>
          <w:szCs w:val="24"/>
        </w:rPr>
        <w:t xml:space="preserve"> (-&gt; Réactif de PCR et puce de PCR).</w:t>
      </w:r>
    </w:p>
    <w:p w14:paraId="0B5B31FC" w14:textId="77777777" w:rsidR="0053611C" w:rsidRPr="0053611C" w:rsidRDefault="0053611C" w:rsidP="0053611C">
      <w:pPr>
        <w:pStyle w:val="En-tte"/>
        <w:tabs>
          <w:tab w:val="right" w:leader="underscore" w:pos="0"/>
          <w:tab w:val="right" w:leader="underscore" w:pos="709"/>
          <w:tab w:val="left" w:pos="5760"/>
        </w:tabs>
        <w:rPr>
          <w:sz w:val="24"/>
          <w:szCs w:val="24"/>
        </w:rPr>
      </w:pPr>
    </w:p>
    <w:p w14:paraId="44994D04" w14:textId="77777777" w:rsidR="0053611C" w:rsidRPr="0053611C" w:rsidRDefault="0053611C" w:rsidP="0053611C">
      <w:pPr>
        <w:pStyle w:val="En-tte"/>
        <w:tabs>
          <w:tab w:val="right" w:leader="underscore" w:pos="0"/>
          <w:tab w:val="right" w:leader="underscore" w:pos="709"/>
          <w:tab w:val="left" w:pos="5760"/>
        </w:tabs>
        <w:rPr>
          <w:sz w:val="24"/>
          <w:szCs w:val="24"/>
        </w:rPr>
      </w:pPr>
      <w:r w:rsidRPr="0053611C">
        <w:rPr>
          <w:b/>
          <w:sz w:val="24"/>
          <w:szCs w:val="24"/>
        </w:rPr>
        <w:t>Etape 2.5 :</w:t>
      </w:r>
      <w:r w:rsidRPr="0053611C">
        <w:rPr>
          <w:sz w:val="24"/>
          <w:szCs w:val="24"/>
        </w:rPr>
        <w:t xml:space="preserve"> Etude inter-centre entre le site de Boulogne sur Mer et de Maisons-Alfort</w:t>
      </w:r>
    </w:p>
    <w:p w14:paraId="482C5C55" w14:textId="77777777" w:rsidR="0053611C" w:rsidRDefault="0053611C" w:rsidP="0053611C">
      <w:pPr>
        <w:pStyle w:val="En-tte"/>
        <w:tabs>
          <w:tab w:val="right" w:leader="underscore" w:pos="0"/>
          <w:tab w:val="right" w:leader="underscore" w:pos="709"/>
          <w:tab w:val="left" w:pos="5760"/>
        </w:tabs>
        <w:rPr>
          <w:sz w:val="24"/>
          <w:szCs w:val="24"/>
        </w:rPr>
      </w:pPr>
      <w:r w:rsidRPr="0053611C">
        <w:rPr>
          <w:sz w:val="24"/>
          <w:szCs w:val="24"/>
        </w:rPr>
        <w:t>Un panel de 30-100 souches sera envoyé aux centres impliqués dans l’étude pour valider le schéma de PCR sur leur propre système de PCR en temps réel (-&gt; Transport).</w:t>
      </w:r>
    </w:p>
    <w:p w14:paraId="68DF0676" w14:textId="77777777" w:rsidR="007E002E" w:rsidRPr="0090118F" w:rsidRDefault="007E002E" w:rsidP="00FC0CD4">
      <w:pPr>
        <w:pStyle w:val="Titre1"/>
        <w:spacing w:before="100" w:beforeAutospacing="1" w:after="100" w:afterAutospacing="1"/>
      </w:pPr>
      <w:bookmarkStart w:id="17" w:name="_Toc367978358"/>
      <w:bookmarkStart w:id="18" w:name="_Toc475355571"/>
      <w:bookmarkStart w:id="19" w:name="_Toc73027856"/>
      <w:r w:rsidRPr="0090118F">
        <w:lastRenderedPageBreak/>
        <w:t>R</w:t>
      </w:r>
      <w:bookmarkEnd w:id="17"/>
      <w:r w:rsidR="00344A02" w:rsidRPr="0090118F">
        <w:t>ésultats</w:t>
      </w:r>
      <w:bookmarkEnd w:id="18"/>
      <w:bookmarkEnd w:id="19"/>
      <w:r w:rsidRPr="0090118F">
        <w:t xml:space="preserve"> </w:t>
      </w:r>
    </w:p>
    <w:p w14:paraId="4F07D80C" w14:textId="283321D7" w:rsidR="007E002E" w:rsidRPr="0090118F" w:rsidRDefault="007E002E" w:rsidP="00C4046D">
      <w:pPr>
        <w:pStyle w:val="Titre2"/>
      </w:pPr>
      <w:bookmarkStart w:id="20" w:name="_Toc475355572"/>
      <w:bookmarkStart w:id="21" w:name="_Toc367978359"/>
      <w:bookmarkStart w:id="22" w:name="_Toc73027857"/>
      <w:r w:rsidRPr="0090118F">
        <w:t xml:space="preserve">Etape 1 : </w:t>
      </w:r>
      <w:bookmarkEnd w:id="20"/>
      <w:bookmarkEnd w:id="21"/>
      <w:r w:rsidR="00C4046D" w:rsidRPr="00C4046D">
        <w:t xml:space="preserve">Inventaire de la diversité génétique par CC sur la base des profils PFGE des isolats de L. </w:t>
      </w:r>
      <w:proofErr w:type="spellStart"/>
      <w:r w:rsidR="00C4046D" w:rsidRPr="00C4046D">
        <w:t>monocytogenes</w:t>
      </w:r>
      <w:proofErr w:type="spellEnd"/>
      <w:r w:rsidR="00C4046D" w:rsidRPr="00C4046D">
        <w:t xml:space="preserve"> présents dans la </w:t>
      </w:r>
      <w:proofErr w:type="spellStart"/>
      <w:r w:rsidR="00C4046D" w:rsidRPr="00C4046D">
        <w:t>souchothèque</w:t>
      </w:r>
      <w:proofErr w:type="spellEnd"/>
      <w:r w:rsidR="00C4046D" w:rsidRPr="00C4046D">
        <w:t xml:space="preserve"> du laboratoire de </w:t>
      </w:r>
      <w:r w:rsidR="007030A0">
        <w:t xml:space="preserve">sécurité des aliments site de </w:t>
      </w:r>
      <w:r w:rsidR="00C4046D" w:rsidRPr="00C4046D">
        <w:t>Boulogne sur Mer</w:t>
      </w:r>
      <w:bookmarkEnd w:id="22"/>
    </w:p>
    <w:p w14:paraId="7AF835DF" w14:textId="77777777" w:rsidR="00403457" w:rsidRPr="0090118F" w:rsidRDefault="00403457" w:rsidP="00FC0CD4">
      <w:pPr>
        <w:pStyle w:val="StyleTitre3TimesNewRoman"/>
        <w:spacing w:before="100" w:beforeAutospacing="1" w:after="100" w:afterAutospacing="1"/>
      </w:pPr>
      <w:bookmarkStart w:id="23" w:name="_Toc475355578"/>
      <w:bookmarkStart w:id="24" w:name="_Toc73027858"/>
      <w:r w:rsidRPr="0090118F">
        <w:t>Contexte scientifique</w:t>
      </w:r>
      <w:bookmarkEnd w:id="23"/>
      <w:bookmarkEnd w:id="24"/>
      <w:r w:rsidRPr="0090118F">
        <w:t xml:space="preserve"> </w:t>
      </w:r>
    </w:p>
    <w:p w14:paraId="0C0227B9" w14:textId="1BA01A38" w:rsidR="00B23E85" w:rsidRDefault="0099042B" w:rsidP="00B23E85">
      <w:pPr>
        <w:ind w:firstLine="708"/>
      </w:pPr>
      <w:bookmarkStart w:id="25" w:name="_Toc461530688"/>
      <w:r>
        <w:rPr>
          <w:sz w:val="23"/>
          <w:szCs w:val="23"/>
        </w:rPr>
        <w:t xml:space="preserve">De nouvelles techniques se sont développées pour pouvoir rapidement discriminer les souches de </w:t>
      </w:r>
      <w:r>
        <w:rPr>
          <w:i/>
          <w:iCs/>
          <w:sz w:val="23"/>
          <w:szCs w:val="23"/>
        </w:rPr>
        <w:t xml:space="preserve">L. </w:t>
      </w:r>
      <w:proofErr w:type="spellStart"/>
      <w:r>
        <w:rPr>
          <w:i/>
          <w:iCs/>
          <w:sz w:val="23"/>
          <w:szCs w:val="23"/>
        </w:rPr>
        <w:t>monocytogenes</w:t>
      </w:r>
      <w:proofErr w:type="spellEnd"/>
      <w:r>
        <w:rPr>
          <w:i/>
          <w:iCs/>
          <w:sz w:val="23"/>
          <w:szCs w:val="23"/>
        </w:rPr>
        <w:t xml:space="preserve"> </w:t>
      </w:r>
      <w:r>
        <w:rPr>
          <w:sz w:val="23"/>
          <w:szCs w:val="23"/>
        </w:rPr>
        <w:t xml:space="preserve">isolées de patients ou d’aliments. Une méthode par PCR multiplex a permis de séparer les quatre principaux </w:t>
      </w:r>
      <w:proofErr w:type="spellStart"/>
      <w:r>
        <w:rPr>
          <w:sz w:val="23"/>
          <w:szCs w:val="23"/>
        </w:rPr>
        <w:t>sérovars</w:t>
      </w:r>
      <w:proofErr w:type="spellEnd"/>
      <w:r>
        <w:rPr>
          <w:sz w:val="23"/>
          <w:szCs w:val="23"/>
        </w:rPr>
        <w:t xml:space="preserve"> (1/2a, 1/2b, 1/2c et 4b) en groupes distincts </w:t>
      </w:r>
      <w:r>
        <w:rPr>
          <w:sz w:val="23"/>
          <w:szCs w:val="23"/>
        </w:rPr>
        <w:fldChar w:fldCharType="begin">
          <w:fldData xml:space="preserve">PEVuZE5vdGU+PENpdGU+PEF1dGhvcj5Eb3VtaXRoPC9BdXRob3I+PFllYXI+MjAwNDwvWWVhcj48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</w:fldData>
        </w:fldChar>
      </w:r>
      <w:r w:rsidR="00B63154">
        <w:rPr>
          <w:sz w:val="23"/>
          <w:szCs w:val="23"/>
        </w:rPr>
        <w:instrText xml:space="preserve"> ADDIN EN.CITE </w:instrText>
      </w:r>
      <w:r w:rsidR="00B63154">
        <w:rPr>
          <w:sz w:val="23"/>
          <w:szCs w:val="23"/>
        </w:rPr>
        <w:fldChar w:fldCharType="begin">
          <w:fldData xml:space="preserve">PEVuZE5vdGU+PENpdGU+PEF1dGhvcj5Eb3VtaXRoPC9BdXRob3I+PFllYXI+MjAwNDwvWWVhcj48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</w:fldData>
        </w:fldChar>
      </w:r>
      <w:r w:rsidR="00B63154">
        <w:rPr>
          <w:sz w:val="23"/>
          <w:szCs w:val="23"/>
        </w:rPr>
        <w:instrText xml:space="preserve"> ADDIN EN.CITE.DATA </w:instrText>
      </w:r>
      <w:r w:rsidR="00B63154">
        <w:rPr>
          <w:sz w:val="23"/>
          <w:szCs w:val="23"/>
        </w:rPr>
      </w:r>
      <w:r w:rsidR="00B63154">
        <w:rPr>
          <w:sz w:val="23"/>
          <w:szCs w:val="23"/>
        </w:rPr>
        <w:fldChar w:fldCharType="end"/>
      </w:r>
      <w:r>
        <w:rPr>
          <w:sz w:val="23"/>
          <w:szCs w:val="23"/>
        </w:rPr>
      </w:r>
      <w:r>
        <w:rPr>
          <w:sz w:val="23"/>
          <w:szCs w:val="23"/>
        </w:rPr>
        <w:fldChar w:fldCharType="separate"/>
      </w:r>
      <w:r>
        <w:rPr>
          <w:noProof/>
          <w:sz w:val="23"/>
          <w:szCs w:val="23"/>
        </w:rPr>
        <w:t>(Doumith</w:t>
      </w:r>
      <w:r w:rsidRPr="0099042B">
        <w:rPr>
          <w:i/>
          <w:noProof/>
          <w:sz w:val="23"/>
          <w:szCs w:val="23"/>
        </w:rPr>
        <w:t xml:space="preserve"> et al.</w:t>
      </w:r>
      <w:r>
        <w:rPr>
          <w:noProof/>
          <w:sz w:val="23"/>
          <w:szCs w:val="23"/>
        </w:rPr>
        <w:t>, 2004)</w:t>
      </w:r>
      <w:r>
        <w:rPr>
          <w:sz w:val="23"/>
          <w:szCs w:val="23"/>
        </w:rPr>
        <w:fldChar w:fldCharType="end"/>
      </w:r>
      <w:r>
        <w:rPr>
          <w:sz w:val="23"/>
          <w:szCs w:val="23"/>
        </w:rPr>
        <w:t xml:space="preserve">. En 2003, la méthode de « </w:t>
      </w:r>
      <w:proofErr w:type="spellStart"/>
      <w:r>
        <w:rPr>
          <w:sz w:val="23"/>
          <w:szCs w:val="23"/>
        </w:rPr>
        <w:t>MultiLocus</w:t>
      </w:r>
      <w:proofErr w:type="spellEnd"/>
      <w:r>
        <w:rPr>
          <w:sz w:val="23"/>
          <w:szCs w:val="23"/>
        </w:rPr>
        <w:t xml:space="preserve"> </w:t>
      </w:r>
      <w:proofErr w:type="spellStart"/>
      <w:r>
        <w:rPr>
          <w:sz w:val="23"/>
          <w:szCs w:val="23"/>
        </w:rPr>
        <w:t>Sequence</w:t>
      </w:r>
      <w:proofErr w:type="spellEnd"/>
      <w:r>
        <w:rPr>
          <w:sz w:val="23"/>
          <w:szCs w:val="23"/>
        </w:rPr>
        <w:t xml:space="preserve"> </w:t>
      </w:r>
      <w:proofErr w:type="spellStart"/>
      <w:r>
        <w:rPr>
          <w:sz w:val="23"/>
          <w:szCs w:val="23"/>
        </w:rPr>
        <w:t>Typing</w:t>
      </w:r>
      <w:proofErr w:type="spellEnd"/>
      <w:r>
        <w:rPr>
          <w:sz w:val="23"/>
          <w:szCs w:val="23"/>
        </w:rPr>
        <w:t xml:space="preserve"> (MLST) », fondée sur la comparaison de la séquence de gènes de ménage, a été mise au point pour </w:t>
      </w:r>
      <w:r>
        <w:rPr>
          <w:i/>
          <w:iCs/>
          <w:sz w:val="23"/>
          <w:szCs w:val="23"/>
        </w:rPr>
        <w:t xml:space="preserve">L. </w:t>
      </w:r>
      <w:proofErr w:type="spellStart"/>
      <w:r>
        <w:rPr>
          <w:i/>
          <w:iCs/>
          <w:sz w:val="23"/>
          <w:szCs w:val="23"/>
        </w:rPr>
        <w:t>monocytogenes</w:t>
      </w:r>
      <w:proofErr w:type="spellEnd"/>
      <w:r>
        <w:rPr>
          <w:sz w:val="23"/>
          <w:szCs w:val="23"/>
        </w:rPr>
        <w:t xml:space="preserve">, avec la sélection de sept gènes de ménage adaptés aux exigences de la MLST </w:t>
      </w:r>
      <w:r>
        <w:rPr>
          <w:sz w:val="23"/>
          <w:szCs w:val="23"/>
        </w:rPr>
        <w:fldChar w:fldCharType="begin"/>
      </w:r>
      <w:r w:rsidR="00B63154">
        <w:rPr>
          <w:sz w:val="23"/>
          <w:szCs w:val="23"/>
        </w:rPr>
        <w:instrText xml:space="preserve"> ADDIN EN.CITE &lt;EndNote&gt;&lt;Cite&gt;&lt;Author&gt;Salcedo&lt;/Author&gt;&lt;Year&gt;2003&lt;/Year&gt;&lt;RecNum&gt;1264&lt;/RecNum&gt;&lt;DisplayText&gt;(Salcedo&lt;style face="italic"&gt; et al.&lt;/style&gt;, 2003)&lt;/DisplayText&gt;&lt;record&gt;&lt;rec-number&gt;1264&lt;/rec-number&gt;&lt;foreign-keys&gt;&lt;key app="EN" db-id="xrawss2d999aevez25svdvwj909sxsvw00x2" timestamp="1619669734"&gt;1264&lt;/key&gt;&lt;/foreign-keys&gt;&lt;ref-type name="Journal Article"&gt;17&lt;/ref-type&gt;&lt;contributors&gt;&lt;authors&gt;&lt;author&gt;Salcedo, C&lt;/author&gt;&lt;author&gt;Arreaza, L&lt;/author&gt;&lt;author&gt;Alcala, B&lt;/author&gt;&lt;author&gt;De La Fuente, L&lt;/author&gt;&lt;author&gt;Vazquez, JA&lt;/author&gt;&lt;/authors&gt;&lt;/contributors&gt;&lt;titles&gt;&lt;title&gt;Development of a multilocus sequence typing method for analysis of Listeria monocytogenes clones&lt;/title&gt;&lt;secondary-title&gt;Journal of clinical microbiology&lt;/secondary-title&gt;&lt;/titles&gt;&lt;periodical&gt;&lt;full-title&gt;Journal of Clinical Microbiology&lt;/full-title&gt;&lt;/periodical&gt;&lt;pages&gt;757-762&lt;/pages&gt;&lt;volume&gt;41&lt;/volume&gt;&lt;number&gt;2&lt;/number&gt;&lt;dates&gt;&lt;year&gt;2003&lt;/year&gt;&lt;/dates&gt;&lt;isbn&gt;0095-1137&lt;/isbn&gt;&lt;urls&gt;&lt;/urls&gt;&lt;/record&gt;&lt;/Cite&gt;&lt;/EndNote&gt;</w:instrText>
      </w:r>
      <w:r>
        <w:rPr>
          <w:sz w:val="23"/>
          <w:szCs w:val="23"/>
        </w:rPr>
        <w:fldChar w:fldCharType="separate"/>
      </w:r>
      <w:r w:rsidR="00B63154">
        <w:rPr>
          <w:noProof/>
          <w:sz w:val="23"/>
          <w:szCs w:val="23"/>
        </w:rPr>
        <w:t>(Salcedo</w:t>
      </w:r>
      <w:r w:rsidR="00B63154" w:rsidRPr="00B63154">
        <w:rPr>
          <w:i/>
          <w:noProof/>
          <w:sz w:val="23"/>
          <w:szCs w:val="23"/>
        </w:rPr>
        <w:t xml:space="preserve"> et al.</w:t>
      </w:r>
      <w:r w:rsidR="00B63154">
        <w:rPr>
          <w:noProof/>
          <w:sz w:val="23"/>
          <w:szCs w:val="23"/>
        </w:rPr>
        <w:t>, 2003)</w:t>
      </w:r>
      <w:r>
        <w:rPr>
          <w:sz w:val="23"/>
          <w:szCs w:val="23"/>
        </w:rPr>
        <w:fldChar w:fldCharType="end"/>
      </w:r>
      <w:r>
        <w:rPr>
          <w:sz w:val="23"/>
          <w:szCs w:val="23"/>
        </w:rPr>
        <w:t>.</w:t>
      </w:r>
    </w:p>
    <w:p w14:paraId="49BA9523" w14:textId="366B1A50" w:rsidR="00B23E85" w:rsidRDefault="00B23E85" w:rsidP="00B23E85">
      <w:pPr>
        <w:ind w:firstLine="708"/>
      </w:pPr>
      <w:r>
        <w:t xml:space="preserve">L’objectif de ce travail </w:t>
      </w:r>
      <w:r w:rsidR="00E54388">
        <w:t xml:space="preserve">a </w:t>
      </w:r>
      <w:r w:rsidR="00085F36">
        <w:t>consisté</w:t>
      </w:r>
      <w:r>
        <w:t xml:space="preserve"> </w:t>
      </w:r>
      <w:r w:rsidR="00E54388">
        <w:t xml:space="preserve">à </w:t>
      </w:r>
      <w:r w:rsidR="0099042B">
        <w:t xml:space="preserve">identifier les </w:t>
      </w:r>
      <w:proofErr w:type="spellStart"/>
      <w:r w:rsidR="0099042B">
        <w:t>CC</w:t>
      </w:r>
      <w:r w:rsidR="007030A0">
        <w:t>s</w:t>
      </w:r>
      <w:proofErr w:type="spellEnd"/>
      <w:r w:rsidR="0099042B">
        <w:t xml:space="preserve"> de 704 souches de </w:t>
      </w:r>
      <w:r w:rsidR="0099042B" w:rsidRPr="0099042B">
        <w:rPr>
          <w:i/>
        </w:rPr>
        <w:t xml:space="preserve">L. </w:t>
      </w:r>
      <w:proofErr w:type="spellStart"/>
      <w:r w:rsidR="0099042B" w:rsidRPr="0099042B">
        <w:rPr>
          <w:i/>
        </w:rPr>
        <w:t>monocytogenes</w:t>
      </w:r>
      <w:proofErr w:type="spellEnd"/>
      <w:r w:rsidR="0099042B">
        <w:t xml:space="preserve"> </w:t>
      </w:r>
      <w:r w:rsidR="007030A0">
        <w:t xml:space="preserve">sélectionnées dans la </w:t>
      </w:r>
      <w:proofErr w:type="spellStart"/>
      <w:r w:rsidR="007030A0">
        <w:t>souchothèque</w:t>
      </w:r>
      <w:proofErr w:type="spellEnd"/>
      <w:r w:rsidR="007030A0">
        <w:t xml:space="preserve"> du </w:t>
      </w:r>
      <w:proofErr w:type="spellStart"/>
      <w:r w:rsidR="007030A0">
        <w:t>LSAl</w:t>
      </w:r>
      <w:proofErr w:type="spellEnd"/>
      <w:r w:rsidR="007030A0">
        <w:t xml:space="preserve"> site de Boulogne sur mer </w:t>
      </w:r>
      <w:r w:rsidR="0099042B">
        <w:t>isolé</w:t>
      </w:r>
      <w:r w:rsidR="007030A0">
        <w:t>es</w:t>
      </w:r>
      <w:r w:rsidR="0099042B">
        <w:t xml:space="preserve"> </w:t>
      </w:r>
      <w:r w:rsidR="007030A0">
        <w:t xml:space="preserve">créée et mise à jour lors de projets de recherche réalisés avec les professionnels de </w:t>
      </w:r>
      <w:r w:rsidR="0099042B">
        <w:t>la filière saumon et truite. Pour cela</w:t>
      </w:r>
      <w:r w:rsidR="007030A0">
        <w:t>,</w:t>
      </w:r>
      <w:r w:rsidR="0099042B">
        <w:t xml:space="preserve"> un </w:t>
      </w:r>
      <w:r w:rsidR="007030A0">
        <w:t>« </w:t>
      </w:r>
      <w:proofErr w:type="spellStart"/>
      <w:r w:rsidR="0099042B">
        <w:t>mapping</w:t>
      </w:r>
      <w:proofErr w:type="spellEnd"/>
      <w:r w:rsidR="007030A0">
        <w:t> »</w:t>
      </w:r>
      <w:r w:rsidR="0099042B">
        <w:t xml:space="preserve"> a été </w:t>
      </w:r>
      <w:r w:rsidR="007030A0">
        <w:t>effectué</w:t>
      </w:r>
      <w:r w:rsidR="0099042B">
        <w:t xml:space="preserve"> entre les profils PFGE des souches et une base de donnée de profil</w:t>
      </w:r>
      <w:r w:rsidR="00C9559D">
        <w:t>s</w:t>
      </w:r>
      <w:r w:rsidR="0099042B">
        <w:t xml:space="preserve"> PFGE </w:t>
      </w:r>
      <w:r w:rsidR="00C9559D">
        <w:t>de</w:t>
      </w:r>
      <w:r w:rsidR="0099042B">
        <w:t xml:space="preserve"> </w:t>
      </w:r>
      <w:proofErr w:type="spellStart"/>
      <w:r w:rsidR="0099042B">
        <w:t>CCs</w:t>
      </w:r>
      <w:proofErr w:type="spellEnd"/>
      <w:r w:rsidR="0099042B">
        <w:t xml:space="preserve"> de </w:t>
      </w:r>
      <w:r w:rsidR="0099042B" w:rsidRPr="00C9559D">
        <w:rPr>
          <w:i/>
        </w:rPr>
        <w:t xml:space="preserve">L. </w:t>
      </w:r>
      <w:proofErr w:type="spellStart"/>
      <w:r w:rsidR="0099042B" w:rsidRPr="00C9559D">
        <w:rPr>
          <w:i/>
        </w:rPr>
        <w:t>monocytogenes</w:t>
      </w:r>
      <w:proofErr w:type="spellEnd"/>
      <w:r w:rsidR="00C9559D">
        <w:t xml:space="preserve"> connus.</w:t>
      </w:r>
      <w:r w:rsidR="0099042B">
        <w:t xml:space="preserve"> Pour les souches dont les </w:t>
      </w:r>
      <w:proofErr w:type="spellStart"/>
      <w:r w:rsidR="0099042B">
        <w:t>CCs</w:t>
      </w:r>
      <w:proofErr w:type="spellEnd"/>
      <w:r w:rsidR="0099042B">
        <w:t xml:space="preserve"> n’ont pas pu être </w:t>
      </w:r>
      <w:r w:rsidR="00C9559D">
        <w:t>déterminé</w:t>
      </w:r>
      <w:r w:rsidR="0099042B">
        <w:t xml:space="preserve"> par la technique de </w:t>
      </w:r>
      <w:r w:rsidR="007030A0">
        <w:t>« </w:t>
      </w:r>
      <w:proofErr w:type="spellStart"/>
      <w:r w:rsidR="0099042B">
        <w:t>mapping</w:t>
      </w:r>
      <w:proofErr w:type="spellEnd"/>
      <w:r w:rsidR="007030A0">
        <w:t> »</w:t>
      </w:r>
      <w:r w:rsidR="0099042B">
        <w:t xml:space="preserve">, ces </w:t>
      </w:r>
      <w:r w:rsidR="00C9559D">
        <w:t>dernières</w:t>
      </w:r>
      <w:r w:rsidR="0099042B">
        <w:t xml:space="preserve"> ont été </w:t>
      </w:r>
      <w:r w:rsidR="00C9559D">
        <w:t xml:space="preserve">analysées par la PCR </w:t>
      </w:r>
      <w:r w:rsidR="007030A0">
        <w:t xml:space="preserve">en temps réel </w:t>
      </w:r>
      <w:r w:rsidR="00C9559D">
        <w:t xml:space="preserve">GENOLISTERIA (développé dans ce projet) ou </w:t>
      </w:r>
      <w:r w:rsidR="007030A0">
        <w:t>par séquençage</w:t>
      </w:r>
      <w:r w:rsidR="00C9559D">
        <w:t xml:space="preserve"> du génome (</w:t>
      </w:r>
      <w:proofErr w:type="spellStart"/>
      <w:r w:rsidR="00C9559D" w:rsidRPr="00C9559D">
        <w:t>whole</w:t>
      </w:r>
      <w:proofErr w:type="spellEnd"/>
      <w:r w:rsidR="00C9559D" w:rsidRPr="00C9559D">
        <w:t xml:space="preserve"> </w:t>
      </w:r>
      <w:proofErr w:type="spellStart"/>
      <w:r w:rsidR="00C9559D" w:rsidRPr="00C9559D">
        <w:t>genome</w:t>
      </w:r>
      <w:proofErr w:type="spellEnd"/>
      <w:r w:rsidR="00C9559D">
        <w:t xml:space="preserve"> MLST). </w:t>
      </w:r>
    </w:p>
    <w:p w14:paraId="15F82AA5" w14:textId="77777777" w:rsidR="002515E4" w:rsidRDefault="002515E4" w:rsidP="00FC0CD4">
      <w:pPr>
        <w:pStyle w:val="Titre3"/>
        <w:spacing w:before="100" w:beforeAutospacing="1" w:after="100" w:afterAutospacing="1"/>
      </w:pPr>
      <w:bookmarkStart w:id="26" w:name="_Toc73027859"/>
      <w:r w:rsidRPr="0090118F">
        <w:t>Matériel et méthodes</w:t>
      </w:r>
      <w:bookmarkEnd w:id="25"/>
      <w:bookmarkEnd w:id="26"/>
    </w:p>
    <w:p w14:paraId="6C88C7FE" w14:textId="77777777" w:rsidR="007A1B82" w:rsidRDefault="007A1B82" w:rsidP="00560106">
      <w:pPr>
        <w:pStyle w:val="Titre4"/>
      </w:pPr>
      <w:proofErr w:type="spellStart"/>
      <w:r w:rsidRPr="007A1B82">
        <w:t>Sérotypage</w:t>
      </w:r>
      <w:proofErr w:type="spellEnd"/>
      <w:r w:rsidRPr="007A1B82">
        <w:t xml:space="preserve"> moléculaire et conventionnel</w:t>
      </w:r>
      <w:r>
        <w:t xml:space="preserve"> </w:t>
      </w:r>
    </w:p>
    <w:p w14:paraId="566D431F" w14:textId="5D568DB4" w:rsidR="007A1B82" w:rsidRDefault="007A1B82" w:rsidP="007A1B82">
      <w:pPr>
        <w:spacing w:before="100" w:beforeAutospacing="1" w:after="100" w:afterAutospacing="1"/>
        <w:ind w:firstLine="708"/>
      </w:pPr>
      <w:r>
        <w:t xml:space="preserve">Le </w:t>
      </w:r>
      <w:proofErr w:type="spellStart"/>
      <w:r>
        <w:t>sérotypage</w:t>
      </w:r>
      <w:proofErr w:type="spellEnd"/>
      <w:r>
        <w:t xml:space="preserve"> a été effectué sur </w:t>
      </w:r>
      <w:r w:rsidR="005B410D">
        <w:t xml:space="preserve">les </w:t>
      </w:r>
      <w:r w:rsidR="001D456A">
        <w:t>70</w:t>
      </w:r>
      <w:r w:rsidR="00BE5963">
        <w:t>4</w:t>
      </w:r>
      <w:r>
        <w:t xml:space="preserve"> souches</w:t>
      </w:r>
      <w:r w:rsidR="007030A0">
        <w:t xml:space="preserve"> sélectionnées</w:t>
      </w:r>
      <w:r>
        <w:t xml:space="preserve"> dont </w:t>
      </w:r>
      <w:r w:rsidR="001D456A">
        <w:t>681</w:t>
      </w:r>
      <w:r>
        <w:t xml:space="preserve"> ont été typées par </w:t>
      </w:r>
      <w:proofErr w:type="spellStart"/>
      <w:r>
        <w:t>sérotypage</w:t>
      </w:r>
      <w:proofErr w:type="spellEnd"/>
      <w:r>
        <w:t xml:space="preserve"> conventionnel</w:t>
      </w:r>
      <w:r w:rsidR="005B410D">
        <w:t xml:space="preserve"> par agglutination</w:t>
      </w:r>
      <w:r>
        <w:t xml:space="preserve"> </w:t>
      </w:r>
      <w:r w:rsidR="001D456A">
        <w:fldChar w:fldCharType="begin"/>
      </w:r>
      <w:r w:rsidR="001D456A">
        <w:instrText xml:space="preserve"> ADDIN EN.CITE &lt;EndNote&gt;&lt;Cite&gt;&lt;Author&gt;Seeliger&lt;/Author&gt;&lt;RecNum&gt;1256&lt;/RecNum&gt;&lt;DisplayText&gt;(Seeliger &amp;amp; Hönne)&lt;/DisplayText&gt;&lt;record&gt;&lt;rec-number&gt;1256&lt;/rec-number&gt;&lt;foreign-keys&gt;&lt;key app="EN" db-id="xrawss2d999aevez25svdvwj909sxsvw00x2" timestamp="1619183714"&gt;1256&lt;/key&gt;&lt;/foreign-keys&gt;&lt;ref-type name="Journal Article"&gt;17&lt;/ref-type&gt;&lt;contributors&gt;&lt;authors&gt;&lt;author&gt;Seeliger, HP&lt;/author&gt;&lt;author&gt;Hönne, K&lt;/author&gt;&lt;/authors&gt;&lt;/contributors&gt;&lt;titles&gt;&lt;title&gt;Serotyping of Listeria monocytogenes and related species. Vol. 13&lt;/title&gt;&lt;secondary-title&gt;Methods in microbiology. Capítulo&lt;/secondary-title&gt;&lt;/titles&gt;&lt;periodical&gt;&lt;full-title&gt;Methods in microbiology. Capítulo&lt;/full-title&gt;&lt;/periodical&gt;&lt;pages&gt;31-49&lt;/pages&gt;&lt;volume&gt;11&lt;/volume&gt;&lt;dates&gt;&lt;/dates&gt;&lt;urls&gt;&lt;/urls&gt;&lt;/record&gt;&lt;/Cite&gt;&lt;/EndNote&gt;</w:instrText>
      </w:r>
      <w:r w:rsidR="001D456A">
        <w:fldChar w:fldCharType="separate"/>
      </w:r>
      <w:r w:rsidR="001D456A">
        <w:rPr>
          <w:noProof/>
        </w:rPr>
        <w:t>(Seeliger &amp; Hönne)</w:t>
      </w:r>
      <w:r w:rsidR="001D456A">
        <w:fldChar w:fldCharType="end"/>
      </w:r>
      <w:r>
        <w:t xml:space="preserve">, et </w:t>
      </w:r>
      <w:r w:rsidR="001D456A">
        <w:t>2</w:t>
      </w:r>
      <w:r w:rsidR="008C7900">
        <w:t>3</w:t>
      </w:r>
      <w:r>
        <w:t xml:space="preserve"> par </w:t>
      </w:r>
      <w:proofErr w:type="spellStart"/>
      <w:r>
        <w:t>sérotypage</w:t>
      </w:r>
      <w:proofErr w:type="spellEnd"/>
      <w:r>
        <w:t xml:space="preserve"> moléculaire</w:t>
      </w:r>
      <w:r w:rsidR="005B410D">
        <w:t xml:space="preserve"> par PCR multiplexe</w:t>
      </w:r>
      <w:r w:rsidR="001D456A">
        <w:t xml:space="preserve"> </w:t>
      </w:r>
      <w:r w:rsidR="001D456A">
        <w:fldChar w:fldCharType="begin">
          <w:fldData xml:space="preserve">PEVuZE5vdGU+PENpdGU+PEF1dGhvcj5Eb3VtaXRoPC9BdXRob3I+PFllYXI+MjAwNDwvWWVhcj48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</w:fldData>
        </w:fldChar>
      </w:r>
      <w:r w:rsidR="00B63154">
        <w:instrText xml:space="preserve"> ADDIN EN.CITE </w:instrText>
      </w:r>
      <w:r w:rsidR="00B63154">
        <w:fldChar w:fldCharType="begin">
          <w:fldData xml:space="preserve">PEVuZE5vdGU+PENpdGU+PEF1dGhvcj5Eb3VtaXRoPC9BdXRob3I+PFllYXI+MjAwNDwvWWVhcj48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</w:fldData>
        </w:fldChar>
      </w:r>
      <w:r w:rsidR="00B63154">
        <w:instrText xml:space="preserve"> ADDIN EN.CITE.DATA </w:instrText>
      </w:r>
      <w:r w:rsidR="00B63154">
        <w:fldChar w:fldCharType="end"/>
      </w:r>
      <w:r w:rsidR="001D456A">
        <w:fldChar w:fldCharType="separate"/>
      </w:r>
      <w:r w:rsidR="001D456A">
        <w:rPr>
          <w:noProof/>
        </w:rPr>
        <w:t>(Doumith</w:t>
      </w:r>
      <w:r w:rsidR="001D456A" w:rsidRPr="001D456A">
        <w:rPr>
          <w:i/>
          <w:noProof/>
        </w:rPr>
        <w:t xml:space="preserve"> et al.</w:t>
      </w:r>
      <w:r w:rsidR="001D456A">
        <w:rPr>
          <w:noProof/>
        </w:rPr>
        <w:t>, 2004)</w:t>
      </w:r>
      <w:r w:rsidR="001D456A">
        <w:fldChar w:fldCharType="end"/>
      </w:r>
      <w:r>
        <w:t xml:space="preserve">. </w:t>
      </w:r>
      <w:r w:rsidR="005B410D" w:rsidRPr="005B410D">
        <w:t xml:space="preserve">Une séquence spécifique du genre </w:t>
      </w:r>
      <w:r w:rsidR="005B410D" w:rsidRPr="005B410D">
        <w:rPr>
          <w:i/>
        </w:rPr>
        <w:t>Listeria</w:t>
      </w:r>
      <w:r w:rsidR="005B410D" w:rsidRPr="005B410D">
        <w:t xml:space="preserve"> située sur le gène </w:t>
      </w:r>
      <w:proofErr w:type="spellStart"/>
      <w:r w:rsidR="005B410D" w:rsidRPr="005B410D">
        <w:rPr>
          <w:i/>
        </w:rPr>
        <w:t>prs</w:t>
      </w:r>
      <w:proofErr w:type="spellEnd"/>
      <w:r w:rsidR="005B410D" w:rsidRPr="005B410D">
        <w:t xml:space="preserve"> (</w:t>
      </w:r>
      <w:proofErr w:type="spellStart"/>
      <w:r w:rsidR="005B410D" w:rsidRPr="005B410D">
        <w:t>phosphoribosylpyrophosphate</w:t>
      </w:r>
      <w:proofErr w:type="spellEnd"/>
      <w:r w:rsidR="005B410D" w:rsidRPr="005B410D">
        <w:t xml:space="preserve"> synthétase) </w:t>
      </w:r>
      <w:r w:rsidR="005B410D">
        <w:t>a</w:t>
      </w:r>
      <w:r w:rsidR="005B410D" w:rsidRPr="005B410D">
        <w:t xml:space="preserve"> également </w:t>
      </w:r>
      <w:r w:rsidR="005B410D">
        <w:t xml:space="preserve">été </w:t>
      </w:r>
      <w:r w:rsidR="005B410D" w:rsidRPr="005B410D">
        <w:t xml:space="preserve">recherchée ainsi qu’une séquence spécifique de l’espèce </w:t>
      </w:r>
      <w:proofErr w:type="spellStart"/>
      <w:r w:rsidR="005B410D" w:rsidRPr="005B410D">
        <w:rPr>
          <w:i/>
        </w:rPr>
        <w:t>monocytogenes</w:t>
      </w:r>
      <w:proofErr w:type="spellEnd"/>
      <w:r w:rsidR="005B410D" w:rsidRPr="005B410D">
        <w:t xml:space="preserve"> (séquence du gène </w:t>
      </w:r>
      <w:proofErr w:type="spellStart"/>
      <w:r w:rsidR="005B410D" w:rsidRPr="005B410D">
        <w:rPr>
          <w:i/>
        </w:rPr>
        <w:t>prfA</w:t>
      </w:r>
      <w:proofErr w:type="spellEnd"/>
      <w:r w:rsidR="005B410D" w:rsidRPr="005B410D">
        <w:t xml:space="preserve">). Ceci </w:t>
      </w:r>
      <w:r w:rsidR="005B410D">
        <w:t>a permis</w:t>
      </w:r>
      <w:r w:rsidR="005B410D" w:rsidRPr="005B410D">
        <w:t xml:space="preserve"> de valider l’extraction et l’intégralité de l’ADN</w:t>
      </w:r>
      <w:r w:rsidR="005B410D">
        <w:t>. L</w:t>
      </w:r>
      <w:r>
        <w:t xml:space="preserve">es résultats du </w:t>
      </w:r>
      <w:proofErr w:type="spellStart"/>
      <w:r>
        <w:t>sérotypage</w:t>
      </w:r>
      <w:proofErr w:type="spellEnd"/>
      <w:r>
        <w:t xml:space="preserve"> conventionnel ont</w:t>
      </w:r>
      <w:r w:rsidR="005B410D">
        <w:t xml:space="preserve"> été</w:t>
      </w:r>
      <w:r>
        <w:t xml:space="preserve"> exprimés en utilisant la nomenclature du </w:t>
      </w:r>
      <w:proofErr w:type="spellStart"/>
      <w:r>
        <w:t>sérotypage</w:t>
      </w:r>
      <w:proofErr w:type="spellEnd"/>
      <w:r>
        <w:t xml:space="preserve"> moléculaire, les deux nomenclatures étant concordantes</w:t>
      </w:r>
      <w:r w:rsidR="001D456A">
        <w:t xml:space="preserve"> </w:t>
      </w:r>
      <w:r w:rsidR="001D456A">
        <w:fldChar w:fldCharType="begin"/>
      </w:r>
      <w:r w:rsidR="001D456A">
        <w:instrText xml:space="preserve"> ADDIN EN.CITE &lt;EndNote&gt;&lt;Cite&gt;&lt;Author&gt;Kerouanton&lt;/Author&gt;&lt;Year&gt;2010&lt;/Year&gt;&lt;RecNum&gt;611&lt;/RecNum&gt;&lt;DisplayText&gt;(Kerouanton&lt;style face="italic"&gt; et al.&lt;/style&gt;, 2010)&lt;/DisplayText&gt;&lt;record&gt;&lt;rec-number&gt;611&lt;/rec-number&gt;&lt;foreign-keys&gt;&lt;key app="EN" db-id="xrawss2d999aevez25svdvwj909sxsvw00x2" timestamp="1442923248"&gt;611&lt;/key&gt;&lt;/foreign-keys&gt;&lt;ref-type name="Journal Article"&gt;17&lt;/ref-type&gt;&lt;contributors&gt;&lt;authors&gt;&lt;author&gt;Kerouanton, A.&lt;/author&gt;&lt;author&gt;Marault, M.&lt;/author&gt;&lt;author&gt;Petit, L.&lt;/author&gt;&lt;author&gt;Grout, J.&lt;/author&gt;&lt;author&gt;Dao, T. T.&lt;/author&gt;&lt;author&gt;Brisabois, A.&lt;/author&gt;&lt;/authors&gt;&lt;/contributors&gt;&lt;titles&gt;&lt;title&gt;Evaluation of a multiplex PCR assay as an alternative method for Listeria monocytogenes serotyping&lt;/title&gt;&lt;secondary-title&gt;J Microbiol Methods&lt;/secondary-title&gt;&lt;/titles&gt;&lt;periodical&gt;&lt;full-title&gt;J Microbiol Methods&lt;/full-title&gt;&lt;/periodical&gt;&lt;pages&gt;134-7&lt;/pages&gt;&lt;volume&gt;80&lt;/volume&gt;&lt;number&gt;2&lt;/number&gt;&lt;dates&gt;&lt;year&gt;2010&lt;/year&gt;&lt;/dates&gt;&lt;isbn&gt;1872-8359 (Electronic)&amp;#xD;0167-7012 (Linking)&lt;/isbn&gt;&lt;work-type&gt;Comparative Study&amp;#xD;Evaluation Studies&amp;#xD;Research Support, Non-U S Gov&amp;apos;t&lt;/work-type&gt;&lt;urls&gt;&lt;/urls&gt;&lt;/record&gt;&lt;/Cite&gt;&lt;/EndNote&gt;</w:instrText>
      </w:r>
      <w:r w:rsidR="001D456A">
        <w:fldChar w:fldCharType="separate"/>
      </w:r>
      <w:r w:rsidR="001D456A">
        <w:rPr>
          <w:noProof/>
        </w:rPr>
        <w:t>(Kerouanton</w:t>
      </w:r>
      <w:r w:rsidR="001D456A" w:rsidRPr="001D456A">
        <w:rPr>
          <w:i/>
          <w:noProof/>
        </w:rPr>
        <w:t xml:space="preserve"> et al.</w:t>
      </w:r>
      <w:r w:rsidR="001D456A">
        <w:rPr>
          <w:noProof/>
        </w:rPr>
        <w:t>, 2010)</w:t>
      </w:r>
      <w:r w:rsidR="001D456A">
        <w:fldChar w:fldCharType="end"/>
      </w:r>
      <w:r>
        <w:t>.</w:t>
      </w:r>
    </w:p>
    <w:p w14:paraId="38B4F32C" w14:textId="77777777" w:rsidR="007A1B82" w:rsidRDefault="007A1B82" w:rsidP="00560106">
      <w:pPr>
        <w:pStyle w:val="Titre4"/>
      </w:pPr>
      <w:bookmarkStart w:id="27" w:name="_Toc461530690"/>
      <w:r w:rsidRPr="007A1B82">
        <w:lastRenderedPageBreak/>
        <w:t>Base de données de typage moléculaire et</w:t>
      </w:r>
      <w:r>
        <w:t xml:space="preserve"> interprétation des profils PFGE</w:t>
      </w:r>
    </w:p>
    <w:bookmarkEnd w:id="27"/>
    <w:p w14:paraId="74597725" w14:textId="77777777" w:rsidR="005B410D" w:rsidRDefault="005B410D" w:rsidP="005B410D">
      <w:pPr>
        <w:pStyle w:val="Standard"/>
        <w:ind w:firstLine="360"/>
      </w:pPr>
      <w:r>
        <w:t xml:space="preserve">Le typage moléculaire des souches a été réalisé par électrophorèse en champ pulsé (PFGE), selon un protocole publié (Graves et </w:t>
      </w:r>
      <w:proofErr w:type="spellStart"/>
      <w:r>
        <w:t>Swaminathan</w:t>
      </w:r>
      <w:proofErr w:type="spellEnd"/>
      <w:r>
        <w:t xml:space="preserve">, 2001) et standardisé adapté de celui proposé par </w:t>
      </w:r>
      <w:proofErr w:type="spellStart"/>
      <w:r>
        <w:t>PulseNet</w:t>
      </w:r>
      <w:proofErr w:type="spellEnd"/>
      <w:r>
        <w:t xml:space="preserve"> (http://www.cdc.gov/pulsenet/protocols/pulsenet_listeria_protocol%20.pdf). Le protocole de PFGE est réalisé en trois étapes : Une extraction de l’ADN des cellules bactériennes, une digestion enzymatique de l’ADN avec deux enzymes de restriction, </w:t>
      </w:r>
      <w:proofErr w:type="spellStart"/>
      <w:r>
        <w:t>ApaI</w:t>
      </w:r>
      <w:proofErr w:type="spellEnd"/>
      <w:r>
        <w:t xml:space="preserve"> et </w:t>
      </w:r>
      <w:proofErr w:type="spellStart"/>
      <w:r>
        <w:t>AscI</w:t>
      </w:r>
      <w:proofErr w:type="spellEnd"/>
      <w:r>
        <w:t xml:space="preserve">, puis une séparation </w:t>
      </w:r>
      <w:proofErr w:type="spellStart"/>
      <w:r>
        <w:t>électrophorètique</w:t>
      </w:r>
      <w:proofErr w:type="spellEnd"/>
      <w:r>
        <w:t xml:space="preserve"> des fragments de restriction. Afin de pouvoir normaliser le gel dans le but de comparer les profils obtenus dans des gels différents, il est très important d’utiliser dans chaque gel une souche de référence placées toutes les 5-6 pistes. La souche utilisée est une </w:t>
      </w:r>
      <w:r w:rsidRPr="005B410D">
        <w:rPr>
          <w:i/>
        </w:rPr>
        <w:t xml:space="preserve">Salmonella </w:t>
      </w:r>
      <w:proofErr w:type="spellStart"/>
      <w:r w:rsidRPr="005B410D">
        <w:rPr>
          <w:i/>
        </w:rPr>
        <w:t>branderup</w:t>
      </w:r>
      <w:proofErr w:type="spellEnd"/>
      <w:r>
        <w:t xml:space="preserve"> n° H9812 (Hunter et al., 2005).</w:t>
      </w:r>
    </w:p>
    <w:p w14:paraId="62DA8425" w14:textId="77777777" w:rsidR="005B410D" w:rsidRDefault="005B410D" w:rsidP="005B410D">
      <w:pPr>
        <w:pStyle w:val="Standard"/>
        <w:ind w:firstLine="360"/>
      </w:pPr>
      <w:r>
        <w:t xml:space="preserve">Les profils moléculaires obtenus pour chacune des souches ont été analysés à l’aide du logiciel </w:t>
      </w:r>
      <w:proofErr w:type="spellStart"/>
      <w:r>
        <w:t>Bionumerics</w:t>
      </w:r>
      <w:proofErr w:type="spellEnd"/>
      <w:r>
        <w:t xml:space="preserve"> (</w:t>
      </w:r>
      <w:proofErr w:type="spellStart"/>
      <w:r>
        <w:t>Biomérieux</w:t>
      </w:r>
      <w:proofErr w:type="spellEnd"/>
      <w:r>
        <w:t xml:space="preserve"> </w:t>
      </w:r>
      <w:proofErr w:type="spellStart"/>
      <w:r>
        <w:t>Applied</w:t>
      </w:r>
      <w:proofErr w:type="spellEnd"/>
      <w:r>
        <w:t xml:space="preserve"> Maths, Sint-Martens-Latem, Belgique) avec la création de dendrogramme en utilisant le coefficient de </w:t>
      </w:r>
      <w:proofErr w:type="spellStart"/>
      <w:r>
        <w:t>Dice</w:t>
      </w:r>
      <w:proofErr w:type="spellEnd"/>
      <w:r>
        <w:t xml:space="preserve"> et la méthode de groupage UPGMA (</w:t>
      </w:r>
      <w:proofErr w:type="spellStart"/>
      <w:r>
        <w:t>Unweighted</w:t>
      </w:r>
      <w:proofErr w:type="spellEnd"/>
      <w:r>
        <w:t xml:space="preserve"> Pair Group Method </w:t>
      </w:r>
      <w:proofErr w:type="spellStart"/>
      <w:r>
        <w:t>Using</w:t>
      </w:r>
      <w:proofErr w:type="spellEnd"/>
      <w:r>
        <w:t xml:space="preserve"> </w:t>
      </w:r>
      <w:proofErr w:type="spellStart"/>
      <w:r>
        <w:t>Arithmetic</w:t>
      </w:r>
      <w:proofErr w:type="spellEnd"/>
      <w:r>
        <w:t xml:space="preserve"> </w:t>
      </w:r>
      <w:proofErr w:type="spellStart"/>
      <w:r>
        <w:t>Averages</w:t>
      </w:r>
      <w:proofErr w:type="spellEnd"/>
      <w:r>
        <w:t xml:space="preserve">). </w:t>
      </w:r>
    </w:p>
    <w:p w14:paraId="09DB834F" w14:textId="610D2D5A" w:rsidR="00DB3EF6" w:rsidRDefault="00F635CC" w:rsidP="00F635CC">
      <w:pPr>
        <w:pStyle w:val="Standard"/>
        <w:ind w:firstLine="360"/>
      </w:pPr>
      <w:r>
        <w:t xml:space="preserve">Une base de données partagée (logiciel </w:t>
      </w:r>
      <w:proofErr w:type="spellStart"/>
      <w:r>
        <w:t>BioNumerics</w:t>
      </w:r>
      <w:proofErr w:type="spellEnd"/>
      <w:r>
        <w:t xml:space="preserve">, version 7.6) a été utilisée pour comparer les profils </w:t>
      </w:r>
      <w:r w:rsidR="001D456A" w:rsidRPr="001D456A">
        <w:t>génotypiques (</w:t>
      </w:r>
      <w:proofErr w:type="spellStart"/>
      <w:r w:rsidR="001D456A" w:rsidRPr="001D456A">
        <w:t>sérotypage</w:t>
      </w:r>
      <w:proofErr w:type="spellEnd"/>
      <w:r w:rsidR="001D456A" w:rsidRPr="001D456A">
        <w:t xml:space="preserve"> et PFGE)</w:t>
      </w:r>
      <w:r>
        <w:t xml:space="preserve">. </w:t>
      </w:r>
      <w:r w:rsidR="00BE5963">
        <w:t>Des</w:t>
      </w:r>
      <w:r>
        <w:t xml:space="preserve"> cluster</w:t>
      </w:r>
      <w:r w:rsidR="00BE5963">
        <w:t>s de souche</w:t>
      </w:r>
      <w:r w:rsidR="005B410D">
        <w:t>s</w:t>
      </w:r>
      <w:r w:rsidR="00BE5963">
        <w:t xml:space="preserve"> partageant des profils</w:t>
      </w:r>
      <w:r>
        <w:t xml:space="preserve"> PFGE </w:t>
      </w:r>
      <w:r w:rsidR="00BE5963">
        <w:t>similaire</w:t>
      </w:r>
      <w:r w:rsidR="005B410D">
        <w:t>s</w:t>
      </w:r>
      <w:r w:rsidR="00BE5963">
        <w:t xml:space="preserve"> ont été défini</w:t>
      </w:r>
      <w:r w:rsidR="005B410D">
        <w:t>s</w:t>
      </w:r>
      <w:r w:rsidR="00BE5963">
        <w:t xml:space="preserve">. </w:t>
      </w:r>
      <w:r w:rsidR="00836C8F">
        <w:t>L</w:t>
      </w:r>
      <w:r>
        <w:t>es profils PFGE présenta</w:t>
      </w:r>
      <w:r w:rsidR="00836C8F">
        <w:t>nt au moins</w:t>
      </w:r>
      <w:r>
        <w:t xml:space="preserve"> 85% </w:t>
      </w:r>
      <w:r w:rsidR="00BE5963">
        <w:t>de similarité</w:t>
      </w:r>
      <w:r w:rsidR="00836C8F">
        <w:t xml:space="preserve"> étaient considéré</w:t>
      </w:r>
      <w:r w:rsidR="005B410D">
        <w:t>s</w:t>
      </w:r>
      <w:r w:rsidR="00836C8F">
        <w:t xml:space="preserve"> comme appartenant au même </w:t>
      </w:r>
      <w:r w:rsidR="00AA0E06">
        <w:t>« </w:t>
      </w:r>
      <w:r w:rsidR="00836C8F">
        <w:t>cluster</w:t>
      </w:r>
      <w:r w:rsidR="00AA0E06">
        <w:t xml:space="preserve"> PFGE »</w:t>
      </w:r>
      <w:r>
        <w:t xml:space="preserve">. Chaque </w:t>
      </w:r>
      <w:r w:rsidR="00AA0E06">
        <w:t xml:space="preserve">« cluster PFGE » </w:t>
      </w:r>
      <w:r>
        <w:t>a été numéroté consécutivement,</w:t>
      </w:r>
      <w:r w:rsidR="00BE5963">
        <w:t xml:space="preserve"> en commençant à partir de "1".</w:t>
      </w:r>
    </w:p>
    <w:p w14:paraId="19382CB3" w14:textId="3F29BFC9" w:rsidR="00DB3EF6" w:rsidRDefault="00DB3EF6" w:rsidP="00560106">
      <w:pPr>
        <w:pStyle w:val="Titre4"/>
      </w:pPr>
      <w:proofErr w:type="spellStart"/>
      <w:r>
        <w:t>Dendogramme</w:t>
      </w:r>
      <w:proofErr w:type="spellEnd"/>
    </w:p>
    <w:p w14:paraId="0BF15BD9" w14:textId="6729A7E4" w:rsidR="00DB3EF6" w:rsidRPr="00DB3EF6" w:rsidRDefault="00DB3EF6" w:rsidP="00DB3EF6">
      <w:pPr>
        <w:rPr>
          <w:lang w:eastAsia="en-US" w:bidi="en-US"/>
        </w:rPr>
      </w:pPr>
      <w:r>
        <w:rPr>
          <w:lang w:eastAsia="en-US" w:bidi="en-US"/>
        </w:rPr>
        <w:t xml:space="preserve">Le </w:t>
      </w:r>
      <w:proofErr w:type="spellStart"/>
      <w:r>
        <w:rPr>
          <w:lang w:eastAsia="en-US" w:bidi="en-US"/>
        </w:rPr>
        <w:t>dendogramme</w:t>
      </w:r>
      <w:proofErr w:type="spellEnd"/>
      <w:r>
        <w:rPr>
          <w:lang w:eastAsia="en-US" w:bidi="en-US"/>
        </w:rPr>
        <w:t xml:space="preserve"> a été réalisé à l’aide du logiciel </w:t>
      </w:r>
      <w:proofErr w:type="spellStart"/>
      <w:r w:rsidR="00AA0E06">
        <w:t>BioNumerics</w:t>
      </w:r>
      <w:proofErr w:type="spellEnd"/>
      <w:r>
        <w:t xml:space="preserve"> version 7.6.</w:t>
      </w:r>
    </w:p>
    <w:p w14:paraId="400056DE" w14:textId="77777777" w:rsidR="002515E4" w:rsidRPr="0090118F" w:rsidRDefault="00A303E0" w:rsidP="00560106">
      <w:pPr>
        <w:pStyle w:val="Titre4"/>
      </w:pPr>
      <w:bookmarkStart w:id="28" w:name="_Toc461530691"/>
      <w:proofErr w:type="spellStart"/>
      <w:r>
        <w:t>Mapping</w:t>
      </w:r>
      <w:proofErr w:type="spellEnd"/>
      <w:r>
        <w:t xml:space="preserve"> MLST/PFGE</w:t>
      </w:r>
      <w:bookmarkEnd w:id="28"/>
    </w:p>
    <w:p w14:paraId="681148C7" w14:textId="1D897893" w:rsidR="00F635CC" w:rsidRDefault="00F635CC" w:rsidP="00BE5963">
      <w:pPr>
        <w:spacing w:before="100" w:beforeAutospacing="1" w:after="100" w:afterAutospacing="1"/>
        <w:ind w:firstLine="708"/>
      </w:pPr>
      <w:r>
        <w:t xml:space="preserve">Nous avons </w:t>
      </w:r>
      <w:r w:rsidR="00BE5963">
        <w:t xml:space="preserve">utilisé le </w:t>
      </w:r>
      <w:r>
        <w:t xml:space="preserve">protocole de </w:t>
      </w:r>
      <w:r w:rsidR="00AA0E06">
        <w:t>« </w:t>
      </w:r>
      <w:proofErr w:type="spellStart"/>
      <w:r w:rsidR="00BE5963">
        <w:t>mapping</w:t>
      </w:r>
      <w:proofErr w:type="spellEnd"/>
      <w:r w:rsidR="00AA0E06">
        <w:t> »</w:t>
      </w:r>
      <w:r w:rsidR="00BE5963">
        <w:t xml:space="preserve"> décrit par </w:t>
      </w:r>
      <w:r w:rsidR="00BE5963">
        <w:fldChar w:fldCharType="begin"/>
      </w:r>
      <w:r w:rsidR="00BE5963">
        <w:instrText xml:space="preserve"> ADDIN EN.CITE &lt;EndNote&gt;&lt;Cite&gt;&lt;Author&gt;Félix&lt;/Author&gt;&lt;Year&gt;2018&lt;/Year&gt;&lt;RecNum&gt;1260&lt;/RecNum&gt;&lt;DisplayText&gt;(Félix&lt;style face="italic"&gt; et al.&lt;/style&gt;, 2018)&lt;/DisplayText&gt;&lt;record&gt;&lt;rec-number&gt;1260&lt;/rec-number&gt;&lt;foreign-keys&gt;&lt;key app="EN" db-id="xrawss2d999aevez25svdvwj909sxsvw00x2" timestamp="1619187176"&gt;1260&lt;/key&gt;&lt;/foreign-keys&gt;&lt;ref-type name="Journal Article"&gt;17&lt;/ref-type&gt;&lt;contributors&gt;&lt;authors&gt;&lt;author&gt;Félix, Benjamin&lt;/author&gt;&lt;author&gt;Feurer, Carole&lt;/author&gt;&lt;author&gt;Maillet, Aurelien&lt;/author&gt;&lt;author&gt;Guillier, Laurent&lt;/author&gt;&lt;author&gt;Boscher, Evelyne&lt;/author&gt;&lt;author&gt;Kerouanton, Annaëlle&lt;/author&gt;&lt;author&gt;Denis, Martine&lt;/author&gt;&lt;author&gt;Roussel, Sophie&lt;/author&gt;&lt;/authors&gt;&lt;/contributors&gt;&lt;titles&gt;&lt;title&gt;Population genetic structure of Listeria monocytogenes strains isolated from the pig and pork production chain in France&lt;/title&gt;&lt;secondary-title&gt;Frontiers in microbiology&lt;/secondary-title&gt;&lt;/titles&gt;&lt;periodical&gt;&lt;full-title&gt;Front Microbiol&lt;/full-title&gt;&lt;abbr-1&gt;Frontiers in microbiology&lt;/abbr-1&gt;&lt;/periodical&gt;&lt;pages&gt;684&lt;/pages&gt;&lt;volume&gt;9&lt;/volume&gt;&lt;dates&gt;&lt;year&gt;2018&lt;/year&gt;&lt;/dates&gt;&lt;isbn&gt;1664-302X&lt;/isbn&gt;&lt;urls&gt;&lt;/urls&gt;&lt;/record&gt;&lt;/Cite&gt;&lt;/EndNote&gt;</w:instrText>
      </w:r>
      <w:r w:rsidR="00BE5963">
        <w:fldChar w:fldCharType="separate"/>
      </w:r>
      <w:r w:rsidR="00BE5963">
        <w:rPr>
          <w:noProof/>
        </w:rPr>
        <w:t>Félix</w:t>
      </w:r>
      <w:r w:rsidR="00BE5963" w:rsidRPr="00BE5963">
        <w:rPr>
          <w:i/>
          <w:noProof/>
        </w:rPr>
        <w:t xml:space="preserve"> et al.</w:t>
      </w:r>
      <w:r w:rsidR="00BE5963">
        <w:rPr>
          <w:noProof/>
        </w:rPr>
        <w:t xml:space="preserve">, </w:t>
      </w:r>
      <w:r w:rsidR="00AA0E06">
        <w:rPr>
          <w:noProof/>
        </w:rPr>
        <w:t>(</w:t>
      </w:r>
      <w:r w:rsidR="00BE5963">
        <w:rPr>
          <w:noProof/>
        </w:rPr>
        <w:t>2018)</w:t>
      </w:r>
      <w:r w:rsidR="00BE5963">
        <w:fldChar w:fldCharType="end"/>
      </w:r>
      <w:r>
        <w:t xml:space="preserve"> pour identifier les correspondances entre les </w:t>
      </w:r>
      <w:proofErr w:type="spellStart"/>
      <w:r>
        <w:t>CC</w:t>
      </w:r>
      <w:r w:rsidR="00AA0E06">
        <w:t>s</w:t>
      </w:r>
      <w:proofErr w:type="spellEnd"/>
      <w:r>
        <w:t xml:space="preserve"> et les clusters PFGE. Pour ce faire, </w:t>
      </w:r>
      <w:r w:rsidR="00836C8F">
        <w:t>il a été</w:t>
      </w:r>
      <w:r>
        <w:t xml:space="preserve"> utilisé les données de typage de 396 souches, préalablement typées dans </w:t>
      </w:r>
      <w:r w:rsidR="00BE5963">
        <w:t>le</w:t>
      </w:r>
      <w:r>
        <w:t xml:space="preserve"> laboratoire</w:t>
      </w:r>
      <w:r w:rsidR="00BE5963">
        <w:t xml:space="preserve"> de l’Anses de Maison Alfort</w:t>
      </w:r>
      <w:r>
        <w:t xml:space="preserve"> à l'aide des méthodes PFGE et MLST</w:t>
      </w:r>
      <w:r w:rsidR="00BE5963">
        <w:t xml:space="preserve"> </w:t>
      </w:r>
      <w:r w:rsidR="00BE5963">
        <w:fldChar w:fldCharType="begin"/>
      </w:r>
      <w:r w:rsidR="00BE5963">
        <w:instrText xml:space="preserve"> ADDIN EN.CITE &lt;EndNote&gt;&lt;Cite&gt;&lt;Author&gt;Henri&lt;/Author&gt;&lt;Year&gt;2016&lt;/Year&gt;&lt;RecNum&gt;1261&lt;/RecNum&gt;&lt;DisplayText&gt;(Henri&lt;style face="italic"&gt; et al.&lt;/style&gt;, 2016)&lt;/DisplayText&gt;&lt;record&gt;&lt;rec-number&gt;1261&lt;/rec-number&gt;&lt;foreign-keys&gt;&lt;key app="EN" db-id="xrawss2d999aevez25svdvwj909sxsvw00x2" timestamp="1619187249"&gt;1261&lt;/key&gt;&lt;/foreign-keys&gt;&lt;ref-type name="Journal Article"&gt;17&lt;/ref-type&gt;&lt;contributors&gt;&lt;authors&gt;&lt;author&gt;Henri, Clémentine&lt;/author&gt;&lt;author&gt;Félix, Benjamin&lt;/author&gt;&lt;author&gt;Guillier, Laurent&lt;/author&gt;&lt;author&gt;Leekitcharoenphon, Pimlapas&lt;/author&gt;&lt;author&gt;Michelon, Damien&lt;/author&gt;&lt;author&gt;Mariet, Jean-François&lt;/author&gt;&lt;author&gt;Aarestrup, Frank M&lt;/author&gt;&lt;author&gt;Mistou, Michel-Yves&lt;/author&gt;&lt;author&gt;Hendriksen, René S&lt;/author&gt;&lt;author&gt;Roussel, Sophie&lt;/author&gt;&lt;/authors&gt;&lt;/contributors&gt;&lt;titles&gt;&lt;title&gt;Population genetic structure of Listeria monocytogenes strains as determined by pulsed-field gel electrophoresis and multilocus sequence typing&lt;/title&gt;&lt;secondary-title&gt;Applied and environmental microbiology&lt;/secondary-title&gt;&lt;/titles&gt;&lt;periodical&gt;&lt;full-title&gt;Applied and Environmental Microbiology&lt;/full-title&gt;&lt;/periodical&gt;&lt;pages&gt;5720-5728&lt;/pages&gt;&lt;volume&gt;82&lt;/volume&gt;&lt;number&gt;18&lt;/number&gt;&lt;dates&gt;&lt;year&gt;2016&lt;/year&gt;&lt;/dates&gt;&lt;isbn&gt;0099-2240&lt;/isbn&gt;&lt;urls&gt;&lt;/urls&gt;&lt;/record&gt;&lt;/Cite&gt;&lt;/EndNote&gt;</w:instrText>
      </w:r>
      <w:r w:rsidR="00BE5963">
        <w:fldChar w:fldCharType="separate"/>
      </w:r>
      <w:r w:rsidR="00BE5963">
        <w:rPr>
          <w:noProof/>
        </w:rPr>
        <w:t>(Henri</w:t>
      </w:r>
      <w:r w:rsidR="00BE5963" w:rsidRPr="00BE5963">
        <w:rPr>
          <w:i/>
          <w:noProof/>
        </w:rPr>
        <w:t xml:space="preserve"> et al.</w:t>
      </w:r>
      <w:r w:rsidR="00BE5963">
        <w:rPr>
          <w:noProof/>
        </w:rPr>
        <w:t>, 2016)</w:t>
      </w:r>
      <w:r w:rsidR="00BE5963">
        <w:fldChar w:fldCharType="end"/>
      </w:r>
      <w:r>
        <w:t>. Ces données de typage ont été associées ici à celles du panel complet de souches (</w:t>
      </w:r>
      <w:r w:rsidR="00BE5963">
        <w:t>704</w:t>
      </w:r>
      <w:r>
        <w:t xml:space="preserve"> souches) pour déduire les </w:t>
      </w:r>
      <w:proofErr w:type="spellStart"/>
      <w:r>
        <w:t>CC</w:t>
      </w:r>
      <w:r w:rsidR="00AA0E06">
        <w:t>s</w:t>
      </w:r>
      <w:proofErr w:type="spellEnd"/>
      <w:r>
        <w:t xml:space="preserve"> à partir de leurs clusters PFGE. Nous avons utilisé le coefficient ajusté de Wallace (AW) </w:t>
      </w:r>
      <w:r w:rsidR="00836C8F">
        <w:fldChar w:fldCharType="begin"/>
      </w:r>
      <w:r w:rsidR="00836C8F">
        <w:instrText xml:space="preserve"> ADDIN EN.CITE &lt;EndNote&gt;&lt;Cite&gt;&lt;Author&gt;Severiano&lt;/Author&gt;&lt;Year&gt;2011&lt;/Year&gt;&lt;RecNum&gt;1265&lt;/RecNum&gt;&lt;DisplayText&gt;(Severiano&lt;style face="italic"&gt; et al.&lt;/style&gt;, 2011)&lt;/DisplayText&gt;&lt;record&gt;&lt;rec-number&gt;1265&lt;/rec-number&gt;&lt;foreign-keys&gt;&lt;key app="EN" db-id="xrawss2d999aevez25svdvwj909sxsvw00x2" timestamp="1619670902"&gt;1265&lt;/key&gt;&lt;/foreign-keys&gt;&lt;ref-type name="Journal Article"&gt;17&lt;/ref-type&gt;&lt;contributors&gt;&lt;authors&gt;&lt;author&gt;Severiano, Ana&lt;/author&gt;&lt;author&gt;Pinto, Francisco R&lt;/author&gt;&lt;author&gt;Ramirez, Mário&lt;/author&gt;&lt;author&gt;Carriço, João A&lt;/author&gt;&lt;/authors&gt;&lt;/contributors&gt;&lt;titles&gt;&lt;title&gt;Adjusted Wallace coefficient as a measure of congruence between typing methods&lt;/title&gt;&lt;secondary-title&gt;Journal of Clinical Microbiology&lt;/secondary-title&gt;&lt;/titles&gt;&lt;periodical&gt;&lt;full-title&gt;Journal of Clinical Microbiology&lt;/full-title&gt;&lt;/periodical&gt;&lt;pages&gt;3997-4000&lt;/pages&gt;&lt;volume&gt;49&lt;/volume&gt;&lt;number&gt;11&lt;/number&gt;&lt;dates&gt;&lt;year&gt;2011&lt;/year&gt;&lt;/dates&gt;&lt;isbn&gt;0095-1137&lt;/isbn&gt;&lt;urls&gt;&lt;/urls&gt;&lt;/record&gt;&lt;/Cite&gt;&lt;/EndNote&gt;</w:instrText>
      </w:r>
      <w:r w:rsidR="00836C8F">
        <w:fldChar w:fldCharType="separate"/>
      </w:r>
      <w:r w:rsidR="00836C8F">
        <w:rPr>
          <w:noProof/>
        </w:rPr>
        <w:t>(Severiano</w:t>
      </w:r>
      <w:r w:rsidR="00836C8F" w:rsidRPr="00836C8F">
        <w:rPr>
          <w:i/>
          <w:noProof/>
        </w:rPr>
        <w:t xml:space="preserve"> et al.</w:t>
      </w:r>
      <w:r w:rsidR="00836C8F">
        <w:rPr>
          <w:noProof/>
        </w:rPr>
        <w:t>, 2011)</w:t>
      </w:r>
      <w:r w:rsidR="00836C8F">
        <w:fldChar w:fldCharType="end"/>
      </w:r>
      <w:r>
        <w:t xml:space="preserve"> pour mesurer la concordance entre l</w:t>
      </w:r>
      <w:r w:rsidR="00836C8F">
        <w:t>es profils</w:t>
      </w:r>
      <w:r>
        <w:t xml:space="preserve"> PFGE et l</w:t>
      </w:r>
      <w:r w:rsidR="00836C8F">
        <w:t>es schémas</w:t>
      </w:r>
      <w:r>
        <w:t xml:space="preserve"> MLST. Dans</w:t>
      </w:r>
      <w:r w:rsidR="00836C8F">
        <w:t xml:space="preserve"> l’étude de </w:t>
      </w:r>
      <w:r w:rsidR="00836C8F">
        <w:fldChar w:fldCharType="begin"/>
      </w:r>
      <w:r w:rsidR="00836C8F">
        <w:instrText xml:space="preserve"> ADDIN EN.CITE &lt;EndNote&gt;&lt;Cite&gt;&lt;Author&gt;Henri&lt;/Author&gt;&lt;Year&gt;2016&lt;/Year&gt;&lt;RecNum&gt;1261&lt;/RecNum&gt;&lt;DisplayText&gt;(Henri&lt;style face="italic"&gt; et al.&lt;/style&gt;, 2016)&lt;/DisplayText&gt;&lt;record&gt;&lt;rec-number&gt;1261&lt;/rec-number&gt;&lt;foreign-keys&gt;&lt;key app="EN" db-id="xrawss2d999aevez25svdvwj909sxsvw00x2" timestamp="1619187249"&gt;1261&lt;/key&gt;&lt;/foreign-keys&gt;&lt;ref-type name="Journal Article"&gt;17&lt;/ref-type&gt;&lt;contributors&gt;&lt;authors&gt;&lt;author&gt;Henri, Clémentine&lt;/author&gt;&lt;author&gt;Félix, Benjamin&lt;/author&gt;&lt;author&gt;Guillier, Laurent&lt;/author&gt;&lt;author&gt;Leekitcharoenphon, Pimlapas&lt;/author&gt;&lt;author&gt;Michelon, Damien&lt;/author&gt;&lt;author&gt;Mariet, Jean-François&lt;/author&gt;&lt;author&gt;Aarestrup, Frank M&lt;/author&gt;&lt;author&gt;Mistou, Michel-Yves&lt;/author&gt;&lt;author&gt;Hendriksen, René S&lt;/author&gt;&lt;author&gt;Roussel, Sophie&lt;/author&gt;&lt;/authors&gt;&lt;/contributors&gt;&lt;titles&gt;&lt;title&gt;Population genetic structure of Listeria monocytogenes strains as determined by pulsed-field gel electrophoresis and multilocus sequence typing&lt;/title&gt;&lt;secondary-title&gt;Applied and environmental microbiology&lt;/secondary-title&gt;&lt;/titles&gt;&lt;periodical&gt;&lt;full-title&gt;Applied and Environmental Microbiology&lt;/full-title&gt;&lt;/periodical&gt;&lt;pages&gt;5720-5728&lt;/pages&gt;&lt;volume&gt;82&lt;/volume&gt;&lt;number&gt;18&lt;/number&gt;&lt;dates&gt;&lt;year&gt;2016&lt;/year&gt;&lt;/dates&gt;&lt;isbn&gt;0099-2240&lt;/isbn&gt;&lt;urls&gt;&lt;/urls&gt;&lt;/record&gt;&lt;/Cite&gt;&lt;/EndNote&gt;</w:instrText>
      </w:r>
      <w:r w:rsidR="00836C8F">
        <w:fldChar w:fldCharType="separate"/>
      </w:r>
      <w:r w:rsidR="00836C8F">
        <w:rPr>
          <w:noProof/>
        </w:rPr>
        <w:t>Henri</w:t>
      </w:r>
      <w:r w:rsidR="00836C8F" w:rsidRPr="00836C8F">
        <w:rPr>
          <w:i/>
          <w:noProof/>
        </w:rPr>
        <w:t xml:space="preserve"> et al.</w:t>
      </w:r>
      <w:r w:rsidR="00836C8F">
        <w:rPr>
          <w:noProof/>
        </w:rPr>
        <w:t xml:space="preserve"> </w:t>
      </w:r>
      <w:r w:rsidR="00AA0E06">
        <w:rPr>
          <w:noProof/>
        </w:rPr>
        <w:t>(</w:t>
      </w:r>
      <w:r w:rsidR="00836C8F">
        <w:rPr>
          <w:noProof/>
        </w:rPr>
        <w:t>2016)</w:t>
      </w:r>
      <w:r w:rsidR="00836C8F">
        <w:fldChar w:fldCharType="end"/>
      </w:r>
      <w:r>
        <w:t xml:space="preserve">, ce coefficient a été calculé </w:t>
      </w:r>
      <w:r w:rsidR="00836C8F">
        <w:t>pour</w:t>
      </w:r>
      <w:r>
        <w:t xml:space="preserve"> 396 souches, sur la base des ST et des clusters PFGE </w:t>
      </w:r>
      <w:r w:rsidR="00836C8F">
        <w:t>avec</w:t>
      </w:r>
      <w:r>
        <w:t xml:space="preserve"> 80% de similarité. L'AW obtenu était de 0,853, 95%, CI</w:t>
      </w:r>
      <w:r w:rsidRPr="00836C8F">
        <w:rPr>
          <w:vertAlign w:val="subscript"/>
        </w:rPr>
        <w:t xml:space="preserve">95% </w:t>
      </w:r>
      <w:r>
        <w:t xml:space="preserve">[0,874-0,920]. Ici, ce coefficient a été recalculé sur le même panel de 396 souches, sur la base des </w:t>
      </w:r>
      <w:r>
        <w:lastRenderedPageBreak/>
        <w:t>CC et des clusters de similarité PFGE à 85%. L'AW obtenu était de 0,92, CI</w:t>
      </w:r>
      <w:r w:rsidRPr="00836C8F">
        <w:rPr>
          <w:vertAlign w:val="subscript"/>
        </w:rPr>
        <w:t xml:space="preserve">95% </w:t>
      </w:r>
      <w:r>
        <w:t xml:space="preserve">[0,798-0,907]. Sur la base de ce résultat, nous avons décidé de fixer notre cartographie sur les CC et les clusters PFGE </w:t>
      </w:r>
      <w:r w:rsidR="00836C8F">
        <w:t>à</w:t>
      </w:r>
      <w:r>
        <w:t xml:space="preserve"> 85 % de similarité. </w:t>
      </w:r>
    </w:p>
    <w:p w14:paraId="7A21FB17" w14:textId="0388A724" w:rsidR="00A303E0" w:rsidRDefault="00F635CC" w:rsidP="00F635CC">
      <w:pPr>
        <w:spacing w:before="100" w:beforeAutospacing="1" w:after="100" w:afterAutospacing="1"/>
      </w:pPr>
      <w:r>
        <w:t xml:space="preserve">Les souches partageant le même cluster PFGE ont été considérées comme appartenant au même CC lorsqu'elles présentaient au moins 85% de similarité avec une souche précédemment typée par MLST. Lorsque deux clusters étaient associés au même CC, les clusters ont été fusionnés en un seul. Lorsque plusieurs souches de CC différents faisaient partie du même cluster, les </w:t>
      </w:r>
      <w:proofErr w:type="spellStart"/>
      <w:r>
        <w:t>CC</w:t>
      </w:r>
      <w:r w:rsidR="00AA0E06">
        <w:t>s</w:t>
      </w:r>
      <w:proofErr w:type="spellEnd"/>
      <w:r>
        <w:t xml:space="preserve"> ont été fusionnés. </w:t>
      </w:r>
      <w:r w:rsidR="00BE5963" w:rsidRPr="00BE5963">
        <w:t>Lorsque les souches ne partageaient pas de clusters PFGE avec une souche typée par M</w:t>
      </w:r>
      <w:r w:rsidR="00BE5963">
        <w:t>LST, le CC n'a pas été attribué</w:t>
      </w:r>
      <w:r w:rsidR="00A303E0">
        <w:t>.</w:t>
      </w:r>
    </w:p>
    <w:p w14:paraId="2DE2D83D" w14:textId="43478B36" w:rsidR="002515E4" w:rsidRDefault="002515E4" w:rsidP="00571BFC">
      <w:pPr>
        <w:pStyle w:val="Titre3"/>
      </w:pPr>
      <w:bookmarkStart w:id="29" w:name="_Toc461530696"/>
      <w:bookmarkStart w:id="30" w:name="_Toc73027860"/>
      <w:r w:rsidRPr="0090118F">
        <w:t>Résultats</w:t>
      </w:r>
      <w:bookmarkEnd w:id="29"/>
      <w:r w:rsidR="00616637">
        <w:t xml:space="preserve"> et discussion</w:t>
      </w:r>
      <w:bookmarkEnd w:id="30"/>
    </w:p>
    <w:p w14:paraId="728E5E9E" w14:textId="5CDA9B06" w:rsidR="002515E4" w:rsidRPr="0090118F" w:rsidRDefault="00BF7FC8" w:rsidP="00560106">
      <w:pPr>
        <w:pStyle w:val="Titre4"/>
      </w:pPr>
      <w:r>
        <w:t>Etude du p</w:t>
      </w:r>
      <w:r w:rsidR="00A303E0">
        <w:t xml:space="preserve">anel de </w:t>
      </w:r>
      <w:r w:rsidR="008B0623">
        <w:t xml:space="preserve">704 </w:t>
      </w:r>
      <w:r w:rsidR="00A303E0">
        <w:t>souches sélectionnées</w:t>
      </w:r>
    </w:p>
    <w:p w14:paraId="55D7ADA7" w14:textId="3A46AA46" w:rsidR="000F1005" w:rsidRDefault="00435668" w:rsidP="00CE55B7">
      <w:pPr>
        <w:rPr>
          <w:iCs/>
          <w:color w:val="000000"/>
        </w:rPr>
      </w:pPr>
      <w:r w:rsidRPr="00435668">
        <w:rPr>
          <w:iCs/>
          <w:color w:val="000000"/>
        </w:rPr>
        <w:t xml:space="preserve">Le panel des souches </w:t>
      </w:r>
      <w:r w:rsidR="00ED28D1">
        <w:rPr>
          <w:iCs/>
          <w:color w:val="000000"/>
        </w:rPr>
        <w:t>sélectionnées</w:t>
      </w:r>
      <w:r w:rsidRPr="00435668">
        <w:rPr>
          <w:iCs/>
          <w:color w:val="000000"/>
        </w:rPr>
        <w:t xml:space="preserve"> comprenait </w:t>
      </w:r>
      <w:r>
        <w:rPr>
          <w:iCs/>
          <w:color w:val="000000"/>
        </w:rPr>
        <w:t>704</w:t>
      </w:r>
      <w:r w:rsidRPr="00435668">
        <w:rPr>
          <w:iCs/>
          <w:color w:val="000000"/>
        </w:rPr>
        <w:t xml:space="preserve"> souches isolées </w:t>
      </w:r>
      <w:r>
        <w:rPr>
          <w:iCs/>
          <w:color w:val="000000"/>
        </w:rPr>
        <w:t>d’entreprise</w:t>
      </w:r>
      <w:r w:rsidR="008B0623">
        <w:rPr>
          <w:iCs/>
          <w:color w:val="000000"/>
        </w:rPr>
        <w:t>s</w:t>
      </w:r>
      <w:r>
        <w:rPr>
          <w:iCs/>
          <w:color w:val="000000"/>
        </w:rPr>
        <w:t xml:space="preserve"> </w:t>
      </w:r>
      <w:r w:rsidR="008B0623">
        <w:rPr>
          <w:iCs/>
          <w:color w:val="000000"/>
        </w:rPr>
        <w:t>f</w:t>
      </w:r>
      <w:r>
        <w:rPr>
          <w:iCs/>
          <w:color w:val="000000"/>
        </w:rPr>
        <w:t>rançaise</w:t>
      </w:r>
      <w:r w:rsidR="008B0623">
        <w:rPr>
          <w:iCs/>
          <w:color w:val="000000"/>
        </w:rPr>
        <w:t>s</w:t>
      </w:r>
      <w:r>
        <w:rPr>
          <w:iCs/>
          <w:color w:val="000000"/>
        </w:rPr>
        <w:t xml:space="preserve"> de </w:t>
      </w:r>
      <w:r w:rsidR="00616637">
        <w:rPr>
          <w:iCs/>
          <w:color w:val="000000"/>
        </w:rPr>
        <w:t>transformation</w:t>
      </w:r>
      <w:r>
        <w:rPr>
          <w:iCs/>
          <w:color w:val="000000"/>
        </w:rPr>
        <w:t xml:space="preserve"> de truite</w:t>
      </w:r>
      <w:r w:rsidR="008B0623">
        <w:rPr>
          <w:iCs/>
          <w:color w:val="000000"/>
        </w:rPr>
        <w:t>s</w:t>
      </w:r>
      <w:r>
        <w:rPr>
          <w:iCs/>
          <w:color w:val="000000"/>
        </w:rPr>
        <w:t xml:space="preserve"> et saumon</w:t>
      </w:r>
      <w:r w:rsidR="008B0623">
        <w:rPr>
          <w:iCs/>
          <w:color w:val="000000"/>
        </w:rPr>
        <w:t>s</w:t>
      </w:r>
      <w:r w:rsidR="00ED28D1">
        <w:rPr>
          <w:iCs/>
          <w:color w:val="000000"/>
        </w:rPr>
        <w:t xml:space="preserve"> durant des projets de recherche</w:t>
      </w:r>
      <w:r>
        <w:rPr>
          <w:iCs/>
          <w:color w:val="000000"/>
        </w:rPr>
        <w:t>.</w:t>
      </w:r>
      <w:r w:rsidR="00ED28D1">
        <w:rPr>
          <w:iCs/>
          <w:color w:val="000000"/>
        </w:rPr>
        <w:t xml:space="preserve"> Cette sélection a été basée pour obtenir un maximum de diversité génétique sur plusieurs années, dans diverses natures de prélèvements et diverses entreprises.</w:t>
      </w:r>
      <w:r w:rsidR="00496A76">
        <w:rPr>
          <w:iCs/>
          <w:color w:val="000000"/>
        </w:rPr>
        <w:t xml:space="preserve"> </w:t>
      </w:r>
      <w:r w:rsidR="008B0623">
        <w:rPr>
          <w:iCs/>
          <w:color w:val="000000"/>
        </w:rPr>
        <w:t>Un</w:t>
      </w:r>
      <w:r w:rsidR="000F1005" w:rsidRPr="000F1005">
        <w:rPr>
          <w:iCs/>
          <w:color w:val="000000"/>
        </w:rPr>
        <w:t xml:space="preserve"> dendrogramme de ces isolats </w:t>
      </w:r>
      <w:r w:rsidR="008B0623" w:rsidRPr="000F1005">
        <w:rPr>
          <w:iCs/>
          <w:color w:val="000000"/>
        </w:rPr>
        <w:t>sur les profils obtenus avec deux e</w:t>
      </w:r>
      <w:r w:rsidR="008B0623">
        <w:rPr>
          <w:iCs/>
          <w:color w:val="000000"/>
        </w:rPr>
        <w:t xml:space="preserve">nzymes de restriction a été réalisé </w:t>
      </w:r>
      <w:r w:rsidR="00D038C9">
        <w:rPr>
          <w:iCs/>
          <w:color w:val="000000"/>
        </w:rPr>
        <w:t>(</w:t>
      </w:r>
      <w:r w:rsidR="00D038C9">
        <w:rPr>
          <w:iCs/>
          <w:color w:val="000000"/>
        </w:rPr>
        <w:fldChar w:fldCharType="begin"/>
      </w:r>
      <w:r w:rsidR="00D038C9">
        <w:rPr>
          <w:iCs/>
          <w:color w:val="000000"/>
        </w:rPr>
        <w:instrText xml:space="preserve"> REF _Ref70925106 \h </w:instrText>
      </w:r>
      <w:r w:rsidR="00D038C9">
        <w:rPr>
          <w:iCs/>
          <w:color w:val="000000"/>
        </w:rPr>
      </w:r>
      <w:r w:rsidR="00D038C9">
        <w:rPr>
          <w:iCs/>
          <w:color w:val="000000"/>
        </w:rPr>
        <w:fldChar w:fldCharType="separate"/>
      </w:r>
      <w:r w:rsidR="00D038C9">
        <w:t xml:space="preserve">Figure </w:t>
      </w:r>
      <w:r w:rsidR="00D038C9">
        <w:rPr>
          <w:noProof/>
        </w:rPr>
        <w:t>1</w:t>
      </w:r>
      <w:r w:rsidR="00D038C9">
        <w:rPr>
          <w:iCs/>
          <w:color w:val="000000"/>
        </w:rPr>
        <w:fldChar w:fldCharType="end"/>
      </w:r>
      <w:r w:rsidR="00D038C9">
        <w:rPr>
          <w:iCs/>
          <w:color w:val="000000"/>
        </w:rPr>
        <w:t>)</w:t>
      </w:r>
      <w:r w:rsidR="000F1005">
        <w:rPr>
          <w:iCs/>
          <w:color w:val="000000"/>
        </w:rPr>
        <w:fldChar w:fldCharType="begin"/>
      </w:r>
      <w:r w:rsidR="000F1005">
        <w:rPr>
          <w:iCs/>
          <w:color w:val="000000"/>
        </w:rPr>
        <w:instrText xml:space="preserve"> REF _Ref70925059 \h </w:instrText>
      </w:r>
      <w:r w:rsidR="000F1005">
        <w:rPr>
          <w:iCs/>
          <w:color w:val="000000"/>
        </w:rPr>
      </w:r>
      <w:r w:rsidR="000F1005">
        <w:rPr>
          <w:iCs/>
          <w:color w:val="000000"/>
        </w:rPr>
        <w:fldChar w:fldCharType="end"/>
      </w:r>
      <w:r w:rsidR="000F1005">
        <w:rPr>
          <w:iCs/>
          <w:color w:val="000000"/>
        </w:rPr>
        <w:t>. Vingt-neuf</w:t>
      </w:r>
      <w:r w:rsidR="000F1005" w:rsidRPr="000F1005">
        <w:rPr>
          <w:iCs/>
          <w:color w:val="000000"/>
        </w:rPr>
        <w:t xml:space="preserve"> </w:t>
      </w:r>
      <w:proofErr w:type="spellStart"/>
      <w:r w:rsidR="000F1005" w:rsidRPr="000F1005">
        <w:rPr>
          <w:iCs/>
          <w:color w:val="000000"/>
        </w:rPr>
        <w:t>pulsotypes</w:t>
      </w:r>
      <w:proofErr w:type="spellEnd"/>
      <w:r w:rsidR="000F1005" w:rsidRPr="000F1005">
        <w:rPr>
          <w:iCs/>
          <w:color w:val="000000"/>
        </w:rPr>
        <w:t xml:space="preserve"> ont été identifiés</w:t>
      </w:r>
      <w:r w:rsidR="008B0623">
        <w:rPr>
          <w:iCs/>
          <w:color w:val="000000"/>
        </w:rPr>
        <w:t xml:space="preserve"> pour les 704 souches</w:t>
      </w:r>
      <w:r w:rsidR="000F1005" w:rsidRPr="000F1005">
        <w:rPr>
          <w:iCs/>
          <w:color w:val="000000"/>
        </w:rPr>
        <w:t>.</w:t>
      </w:r>
      <w:r w:rsidR="00BF7FC8">
        <w:rPr>
          <w:iCs/>
          <w:color w:val="000000"/>
        </w:rPr>
        <w:t xml:space="preserve"> </w:t>
      </w:r>
      <w:r w:rsidR="00BF7FC8" w:rsidRPr="00BF7FC8">
        <w:rPr>
          <w:iCs/>
          <w:color w:val="000000"/>
        </w:rPr>
        <w:t>Plusieurs profils étaient assez proches les uns des autres</w:t>
      </w:r>
      <w:r w:rsidR="00BF7FC8">
        <w:rPr>
          <w:iCs/>
          <w:color w:val="000000"/>
        </w:rPr>
        <w:t>.</w:t>
      </w:r>
      <w:r w:rsidR="000F1005">
        <w:rPr>
          <w:iCs/>
          <w:color w:val="000000"/>
        </w:rPr>
        <w:t xml:space="preserve"> </w:t>
      </w:r>
      <w:r w:rsidR="00496A76">
        <w:rPr>
          <w:iCs/>
          <w:color w:val="000000"/>
        </w:rPr>
        <w:t>La majorité de</w:t>
      </w:r>
      <w:r w:rsidR="008B0623">
        <w:rPr>
          <w:iCs/>
          <w:color w:val="000000"/>
        </w:rPr>
        <w:t>s</w:t>
      </w:r>
      <w:r w:rsidR="00496A76">
        <w:rPr>
          <w:iCs/>
          <w:color w:val="000000"/>
        </w:rPr>
        <w:t xml:space="preserve"> souches </w:t>
      </w:r>
      <w:r w:rsidR="008B0623">
        <w:rPr>
          <w:iCs/>
          <w:color w:val="000000"/>
        </w:rPr>
        <w:t>ont été isolées</w:t>
      </w:r>
      <w:r w:rsidR="00496A76">
        <w:rPr>
          <w:iCs/>
          <w:color w:val="000000"/>
        </w:rPr>
        <w:t xml:space="preserve"> de prélèvements alimentaire</w:t>
      </w:r>
      <w:r w:rsidR="008B0623">
        <w:rPr>
          <w:iCs/>
          <w:color w:val="000000"/>
        </w:rPr>
        <w:t>s</w:t>
      </w:r>
      <w:r w:rsidR="00496A76">
        <w:rPr>
          <w:iCs/>
          <w:color w:val="000000"/>
        </w:rPr>
        <w:t xml:space="preserve"> de saumon fumé (647 souches) (</w:t>
      </w:r>
      <w:r w:rsidR="00496A76">
        <w:rPr>
          <w:iCs/>
          <w:color w:val="000000"/>
        </w:rPr>
        <w:fldChar w:fldCharType="begin"/>
      </w:r>
      <w:r w:rsidR="00496A76">
        <w:rPr>
          <w:iCs/>
          <w:color w:val="000000"/>
        </w:rPr>
        <w:instrText xml:space="preserve"> REF _Ref70365566 \h </w:instrText>
      </w:r>
      <w:r w:rsidR="00496A76">
        <w:rPr>
          <w:iCs/>
          <w:color w:val="000000"/>
        </w:rPr>
      </w:r>
      <w:r w:rsidR="00496A76">
        <w:rPr>
          <w:iCs/>
          <w:color w:val="000000"/>
        </w:rPr>
        <w:fldChar w:fldCharType="separate"/>
      </w:r>
      <w:r w:rsidR="00D038C9">
        <w:t xml:space="preserve">Figure </w:t>
      </w:r>
      <w:r w:rsidR="00D038C9">
        <w:rPr>
          <w:noProof/>
        </w:rPr>
        <w:t>2</w:t>
      </w:r>
      <w:r w:rsidR="00496A76">
        <w:rPr>
          <w:iCs/>
          <w:color w:val="000000"/>
        </w:rPr>
        <w:fldChar w:fldCharType="end"/>
      </w:r>
      <w:r w:rsidR="00496A76">
        <w:rPr>
          <w:iCs/>
          <w:color w:val="000000"/>
        </w:rPr>
        <w:t xml:space="preserve">). Les 57 </w:t>
      </w:r>
      <w:r w:rsidR="0005461B">
        <w:rPr>
          <w:iCs/>
          <w:color w:val="000000"/>
        </w:rPr>
        <w:t xml:space="preserve">autres </w:t>
      </w:r>
      <w:r w:rsidR="00496A76">
        <w:rPr>
          <w:iCs/>
          <w:color w:val="000000"/>
        </w:rPr>
        <w:t xml:space="preserve">souches </w:t>
      </w:r>
      <w:r w:rsidR="008B0623">
        <w:rPr>
          <w:iCs/>
          <w:color w:val="000000"/>
        </w:rPr>
        <w:t>on</w:t>
      </w:r>
      <w:r w:rsidR="0005461B">
        <w:rPr>
          <w:iCs/>
          <w:color w:val="000000"/>
        </w:rPr>
        <w:t>t</w:t>
      </w:r>
      <w:r w:rsidR="008B0623">
        <w:rPr>
          <w:iCs/>
          <w:color w:val="000000"/>
        </w:rPr>
        <w:t xml:space="preserve"> été isolées</w:t>
      </w:r>
      <w:r w:rsidR="0005461B">
        <w:rPr>
          <w:iCs/>
          <w:color w:val="000000"/>
        </w:rPr>
        <w:t xml:space="preserve"> de prélèvement</w:t>
      </w:r>
      <w:r w:rsidR="008B0623">
        <w:rPr>
          <w:iCs/>
          <w:color w:val="000000"/>
        </w:rPr>
        <w:t>s</w:t>
      </w:r>
      <w:r w:rsidR="0005461B">
        <w:rPr>
          <w:iCs/>
          <w:color w:val="000000"/>
        </w:rPr>
        <w:t xml:space="preserve"> alimentaire</w:t>
      </w:r>
      <w:r w:rsidR="008B0623">
        <w:rPr>
          <w:iCs/>
          <w:color w:val="000000"/>
        </w:rPr>
        <w:t>s</w:t>
      </w:r>
      <w:r w:rsidR="0005461B">
        <w:rPr>
          <w:iCs/>
          <w:color w:val="000000"/>
        </w:rPr>
        <w:t xml:space="preserve"> de truite (fumé</w:t>
      </w:r>
      <w:r w:rsidR="008B0623">
        <w:rPr>
          <w:iCs/>
          <w:color w:val="000000"/>
        </w:rPr>
        <w:t>e</w:t>
      </w:r>
      <w:r w:rsidR="0005461B">
        <w:rPr>
          <w:iCs/>
          <w:color w:val="000000"/>
        </w:rPr>
        <w:t xml:space="preserve"> et frais) et de prélèvements environnementaux (atelier</w:t>
      </w:r>
      <w:r w:rsidR="008B0623">
        <w:rPr>
          <w:iCs/>
          <w:color w:val="000000"/>
        </w:rPr>
        <w:t>s</w:t>
      </w:r>
      <w:r w:rsidR="0005461B">
        <w:rPr>
          <w:iCs/>
          <w:color w:val="000000"/>
        </w:rPr>
        <w:t xml:space="preserve"> de transformation de truite et de saumon).</w:t>
      </w:r>
      <w:r w:rsidR="00496A76">
        <w:rPr>
          <w:iCs/>
          <w:color w:val="000000"/>
        </w:rPr>
        <w:t xml:space="preserve"> </w:t>
      </w:r>
      <w:r w:rsidR="00615439">
        <w:rPr>
          <w:iCs/>
          <w:color w:val="000000"/>
        </w:rPr>
        <w:t>L</w:t>
      </w:r>
      <w:r w:rsidR="008B0623">
        <w:rPr>
          <w:iCs/>
          <w:color w:val="000000"/>
        </w:rPr>
        <w:t>es prélèvements</w:t>
      </w:r>
      <w:r w:rsidR="00000279">
        <w:rPr>
          <w:iCs/>
          <w:color w:val="000000"/>
        </w:rPr>
        <w:t xml:space="preserve"> positifs en </w:t>
      </w:r>
      <w:r w:rsidR="00000279" w:rsidRPr="00000279">
        <w:rPr>
          <w:i/>
          <w:iCs/>
          <w:color w:val="000000"/>
        </w:rPr>
        <w:t xml:space="preserve">L. </w:t>
      </w:r>
      <w:proofErr w:type="spellStart"/>
      <w:r w:rsidR="00000279" w:rsidRPr="00000279">
        <w:rPr>
          <w:i/>
          <w:iCs/>
          <w:color w:val="000000"/>
        </w:rPr>
        <w:t>monocytogenes</w:t>
      </w:r>
      <w:proofErr w:type="spellEnd"/>
      <w:r w:rsidR="008B0623">
        <w:rPr>
          <w:iCs/>
          <w:color w:val="000000"/>
        </w:rPr>
        <w:t xml:space="preserve"> ont été réalisés dans n</w:t>
      </w:r>
      <w:r w:rsidR="00BF7FC8">
        <w:rPr>
          <w:iCs/>
          <w:color w:val="000000"/>
        </w:rPr>
        <w:t>euf entreprises</w:t>
      </w:r>
      <w:r w:rsidR="00ED28D1">
        <w:rPr>
          <w:iCs/>
          <w:color w:val="000000"/>
        </w:rPr>
        <w:t xml:space="preserve"> avec un nombre d’isolats sélectionnés allant de 3 souches à 161 souches car nous voulions un maximum de diversité génétique </w:t>
      </w:r>
      <w:r w:rsidR="008B0623">
        <w:rPr>
          <w:iCs/>
          <w:color w:val="000000"/>
        </w:rPr>
        <w:t>(</w:t>
      </w:r>
      <w:r w:rsidR="008B0623">
        <w:rPr>
          <w:iCs/>
          <w:color w:val="000000"/>
        </w:rPr>
        <w:fldChar w:fldCharType="begin"/>
      </w:r>
      <w:r w:rsidR="008B0623">
        <w:rPr>
          <w:iCs/>
          <w:color w:val="000000"/>
        </w:rPr>
        <w:instrText xml:space="preserve"> REF _Ref70365760 \h </w:instrText>
      </w:r>
      <w:r w:rsidR="008B0623">
        <w:rPr>
          <w:iCs/>
          <w:color w:val="000000"/>
        </w:rPr>
      </w:r>
      <w:r w:rsidR="008B0623">
        <w:rPr>
          <w:iCs/>
          <w:color w:val="000000"/>
        </w:rPr>
        <w:fldChar w:fldCharType="separate"/>
      </w:r>
      <w:r w:rsidR="008B0623">
        <w:t xml:space="preserve">Figure </w:t>
      </w:r>
      <w:r w:rsidR="008B0623">
        <w:rPr>
          <w:noProof/>
        </w:rPr>
        <w:t>3</w:t>
      </w:r>
      <w:r w:rsidR="008B0623">
        <w:rPr>
          <w:iCs/>
          <w:color w:val="000000"/>
        </w:rPr>
        <w:fldChar w:fldCharType="end"/>
      </w:r>
      <w:r w:rsidR="008B0623">
        <w:rPr>
          <w:iCs/>
          <w:color w:val="000000"/>
        </w:rPr>
        <w:t>).</w:t>
      </w:r>
      <w:r w:rsidR="00ED28D1">
        <w:rPr>
          <w:iCs/>
          <w:color w:val="000000"/>
        </w:rPr>
        <w:t xml:space="preserve"> </w:t>
      </w:r>
      <w:r w:rsidR="0005461B">
        <w:rPr>
          <w:iCs/>
          <w:color w:val="000000"/>
        </w:rPr>
        <w:t xml:space="preserve"> </w:t>
      </w:r>
    </w:p>
    <w:p w14:paraId="31938F7E" w14:textId="084374A3" w:rsidR="000F1005" w:rsidRDefault="000F1005" w:rsidP="00CE55B7">
      <w:pPr>
        <w:rPr>
          <w:iCs/>
          <w:color w:val="000000"/>
        </w:rPr>
      </w:pPr>
      <w:r>
        <w:rPr>
          <w:noProof/>
        </w:rPr>
        <w:lastRenderedPageBreak/>
        <w:drawing>
          <wp:inline distT="0" distB="0" distL="0" distR="0" wp14:anchorId="5CC1529D" wp14:editId="7CF4A479">
            <wp:extent cx="5667154" cy="8287452"/>
            <wp:effectExtent l="0" t="0" r="0" b="0"/>
            <wp:docPr id="4" name="Image 4" descr="C:\Users\t.brauge\AppData\Local\Microsoft\Windows\INetCache\Content.Word\Dendro 300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brauge\AppData\Local\Microsoft\Windows\INetCache\Content.Word\Dendro 30042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r="36256"/>
                    <a:stretch/>
                  </pic:blipFill>
                  <pic:spPr bwMode="auto">
                    <a:xfrm>
                      <a:off x="0" y="0"/>
                      <a:ext cx="5677561" cy="8302670"/>
                    </a:xfrm>
                    <a:prstGeom prst="rect">
                      <a:avLst/>
                    </a:prstGeom>
                    <a:noFill/>
                    <a:ln>
                      <a:noFill/>
                    </a:ln>
                    <a:extLst>
                      <a:ext uri="{53640926-AAD7-44D8-BBD7-CCE9431645EC}">
                        <a14:shadowObscured xmlns:a14="http://schemas.microsoft.com/office/drawing/2010/main"/>
                      </a:ext>
                    </a:extLst>
                  </pic:spPr>
                </pic:pic>
              </a:graphicData>
            </a:graphic>
          </wp:inline>
        </w:drawing>
      </w:r>
    </w:p>
    <w:p w14:paraId="1EDE5879" w14:textId="2F2FD9DE" w:rsidR="000F1005" w:rsidRDefault="000F1005" w:rsidP="000F1005">
      <w:pPr>
        <w:pStyle w:val="Lgende"/>
        <w:rPr>
          <w:iCs/>
          <w:color w:val="000000"/>
        </w:rPr>
      </w:pPr>
      <w:bookmarkStart w:id="31" w:name="_Ref70925106"/>
      <w:bookmarkStart w:id="32" w:name="_Ref70925059"/>
      <w:bookmarkStart w:id="33" w:name="_Toc73027706"/>
      <w:r>
        <w:t xml:space="preserve">Figure </w:t>
      </w:r>
      <w:r w:rsidR="00657B21">
        <w:fldChar w:fldCharType="begin"/>
      </w:r>
      <w:r w:rsidR="00657B21">
        <w:instrText xml:space="preserve"> SEQ Figure \* ARABIC </w:instrText>
      </w:r>
      <w:r w:rsidR="00657B21">
        <w:fldChar w:fldCharType="separate"/>
      </w:r>
      <w:r w:rsidR="00A26C65">
        <w:rPr>
          <w:noProof/>
        </w:rPr>
        <w:t>1</w:t>
      </w:r>
      <w:r w:rsidR="00657B21">
        <w:rPr>
          <w:noProof/>
        </w:rPr>
        <w:fldChar w:fldCharType="end"/>
      </w:r>
      <w:bookmarkEnd w:id="31"/>
      <w:r>
        <w:t xml:space="preserve"> : </w:t>
      </w:r>
      <w:r w:rsidRPr="000F1005">
        <w:t xml:space="preserve">Dendrogramme obtenu en utilisant les enzymes </w:t>
      </w:r>
      <w:proofErr w:type="spellStart"/>
      <w:r w:rsidRPr="000F1005">
        <w:rPr>
          <w:i/>
        </w:rPr>
        <w:t>ApaI</w:t>
      </w:r>
      <w:proofErr w:type="spellEnd"/>
      <w:r w:rsidRPr="000F1005">
        <w:rPr>
          <w:i/>
        </w:rPr>
        <w:t xml:space="preserve"> </w:t>
      </w:r>
      <w:r w:rsidRPr="000F1005">
        <w:t xml:space="preserve">et </w:t>
      </w:r>
      <w:proofErr w:type="spellStart"/>
      <w:r w:rsidRPr="000F1005">
        <w:rPr>
          <w:i/>
        </w:rPr>
        <w:t>AscI</w:t>
      </w:r>
      <w:proofErr w:type="spellEnd"/>
      <w:r w:rsidRPr="000F1005">
        <w:t xml:space="preserve"> démontrant la diversité génétique des isolats de </w:t>
      </w:r>
      <w:r w:rsidRPr="000F1005">
        <w:rPr>
          <w:i/>
        </w:rPr>
        <w:t xml:space="preserve">L. </w:t>
      </w:r>
      <w:proofErr w:type="spellStart"/>
      <w:r w:rsidRPr="000F1005">
        <w:rPr>
          <w:i/>
        </w:rPr>
        <w:t>monocytogenes</w:t>
      </w:r>
      <w:bookmarkEnd w:id="32"/>
      <w:bookmarkEnd w:id="33"/>
      <w:proofErr w:type="spellEnd"/>
    </w:p>
    <w:p w14:paraId="26C3ED96" w14:textId="6D90FD39" w:rsidR="00616637" w:rsidRDefault="00616637" w:rsidP="00CE55B7">
      <w:pPr>
        <w:rPr>
          <w:iCs/>
          <w:color w:val="000000"/>
        </w:rPr>
      </w:pPr>
    </w:p>
    <w:p w14:paraId="6E4F532A" w14:textId="38B67BBF" w:rsidR="00616637" w:rsidRDefault="00B90CC3" w:rsidP="00CE55B7">
      <w:pPr>
        <w:rPr>
          <w:iCs/>
          <w:color w:val="000000"/>
        </w:rPr>
      </w:pPr>
      <w:r>
        <w:rPr>
          <w:noProof/>
        </w:rPr>
        <mc:AlternateContent>
          <mc:Choice Requires="wps">
            <w:drawing>
              <wp:anchor distT="0" distB="0" distL="114300" distR="114300" simplePos="0" relativeHeight="251663872" behindDoc="0" locked="0" layoutInCell="1" allowOverlap="1" wp14:anchorId="4BB632A4" wp14:editId="6884B99D">
                <wp:simplePos x="0" y="0"/>
                <wp:positionH relativeFrom="column">
                  <wp:posOffset>3710893</wp:posOffset>
                </wp:positionH>
                <wp:positionV relativeFrom="paragraph">
                  <wp:posOffset>2297847</wp:posOffset>
                </wp:positionV>
                <wp:extent cx="45719" cy="122830"/>
                <wp:effectExtent l="0" t="0" r="12065" b="10795"/>
                <wp:wrapNone/>
                <wp:docPr id="9" name="Rectangle 9"/>
                <wp:cNvGraphicFramePr/>
                <a:graphic xmlns:a="http://schemas.openxmlformats.org/drawingml/2006/main">
                  <a:graphicData uri="http://schemas.microsoft.com/office/word/2010/wordprocessingShape">
                    <wps:wsp>
                      <wps:cNvSpPr/>
                      <wps:spPr>
                        <a:xfrm>
                          <a:off x="0" y="0"/>
                          <a:ext cx="45719" cy="12283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C76036" id="Rectangle 9" o:spid="_x0000_s1026" style="position:absolute;margin-left:292.2pt;margin-top:180.95pt;width:3.6pt;height:9.65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" fillcolor="white [3212]" strokecolor="white [3212]" strokeweight="2pt"/>
            </w:pict>
          </mc:Fallback>
        </mc:AlternateContent>
      </w:r>
      <w:r w:rsidR="00616637">
        <w:rPr>
          <w:noProof/>
        </w:rPr>
        <w:drawing>
          <wp:inline distT="0" distB="0" distL="0" distR="0" wp14:anchorId="2283B0F1" wp14:editId="5CE2DE30">
            <wp:extent cx="4572000" cy="2743200"/>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iCs/>
          <w:color w:val="000000"/>
        </w:rPr>
        <w:br w:type="textWrapping" w:clear="all"/>
      </w:r>
    </w:p>
    <w:p w14:paraId="37E8CA1A" w14:textId="24F9E74D" w:rsidR="00616637" w:rsidRDefault="00616637" w:rsidP="00616637">
      <w:pPr>
        <w:pStyle w:val="Lgende"/>
        <w:rPr>
          <w:iCs/>
          <w:color w:val="000000"/>
        </w:rPr>
      </w:pPr>
      <w:bookmarkStart w:id="34" w:name="_Ref70365566"/>
      <w:bookmarkStart w:id="35" w:name="_Toc73027707"/>
      <w:r>
        <w:t xml:space="preserve">Figure </w:t>
      </w:r>
      <w:r w:rsidR="00657B21">
        <w:fldChar w:fldCharType="begin"/>
      </w:r>
      <w:r w:rsidR="00657B21">
        <w:instrText xml:space="preserve"> SEQ Figure \* ARABIC </w:instrText>
      </w:r>
      <w:r w:rsidR="00657B21">
        <w:fldChar w:fldCharType="separate"/>
      </w:r>
      <w:r w:rsidR="00A26C65">
        <w:rPr>
          <w:noProof/>
        </w:rPr>
        <w:t>2</w:t>
      </w:r>
      <w:r w:rsidR="00657B21">
        <w:rPr>
          <w:noProof/>
        </w:rPr>
        <w:fldChar w:fldCharType="end"/>
      </w:r>
      <w:bookmarkEnd w:id="34"/>
      <w:r>
        <w:t xml:space="preserve"> : </w:t>
      </w:r>
      <w:r w:rsidR="00B90CC3">
        <w:t>Nombre d’isolats par n</w:t>
      </w:r>
      <w:r w:rsidRPr="0024531A">
        <w:t>ature</w:t>
      </w:r>
      <w:r>
        <w:t xml:space="preserve"> de </w:t>
      </w:r>
      <w:r w:rsidR="00B90CC3">
        <w:t>prélèvements</w:t>
      </w:r>
      <w:bookmarkEnd w:id="35"/>
    </w:p>
    <w:p w14:paraId="42F588ED" w14:textId="77777777" w:rsidR="00616637" w:rsidRDefault="00616637" w:rsidP="00FC0CD4">
      <w:pPr>
        <w:rPr>
          <w:iCs/>
          <w:color w:val="000000"/>
        </w:rPr>
      </w:pPr>
    </w:p>
    <w:p w14:paraId="1127F5D3" w14:textId="77777777" w:rsidR="00296B67" w:rsidRDefault="00296B67" w:rsidP="00FC0CD4">
      <w:pPr>
        <w:rPr>
          <w:iCs/>
          <w:color w:val="000000"/>
        </w:rPr>
      </w:pPr>
      <w:r>
        <w:rPr>
          <w:noProof/>
        </w:rPr>
        <w:drawing>
          <wp:inline distT="0" distB="0" distL="0" distR="0" wp14:anchorId="6C51BECC" wp14:editId="2406BC17">
            <wp:extent cx="4572000" cy="2743200"/>
            <wp:effectExtent l="0" t="0" r="0" b="0"/>
            <wp:docPr id="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50E56BA" w14:textId="73C32D46" w:rsidR="0024531A" w:rsidRPr="0024531A" w:rsidRDefault="0024531A" w:rsidP="0024531A">
      <w:pPr>
        <w:pStyle w:val="Lgende"/>
      </w:pPr>
      <w:bookmarkStart w:id="36" w:name="_Ref70365760"/>
      <w:bookmarkStart w:id="37" w:name="_Toc73027708"/>
      <w:r>
        <w:t xml:space="preserve">Figure </w:t>
      </w:r>
      <w:r w:rsidR="00657B21">
        <w:fldChar w:fldCharType="begin"/>
      </w:r>
      <w:r w:rsidR="00657B21">
        <w:instrText xml:space="preserve"> SEQ Figure \* ARABIC </w:instrText>
      </w:r>
      <w:r w:rsidR="00657B21">
        <w:fldChar w:fldCharType="separate"/>
      </w:r>
      <w:r w:rsidR="00A26C65">
        <w:rPr>
          <w:noProof/>
        </w:rPr>
        <w:t>3</w:t>
      </w:r>
      <w:r w:rsidR="00657B21">
        <w:rPr>
          <w:noProof/>
        </w:rPr>
        <w:fldChar w:fldCharType="end"/>
      </w:r>
      <w:bookmarkEnd w:id="36"/>
      <w:r>
        <w:t xml:space="preserve"> : </w:t>
      </w:r>
      <w:r w:rsidR="003E45F8">
        <w:t xml:space="preserve">Nombre d’isolats par entreprise avec des prélèvements positifs en </w:t>
      </w:r>
      <w:r w:rsidR="003E45F8" w:rsidRPr="003E45F8">
        <w:rPr>
          <w:i/>
        </w:rPr>
        <w:t xml:space="preserve">L. </w:t>
      </w:r>
      <w:proofErr w:type="spellStart"/>
      <w:r w:rsidR="003E45F8" w:rsidRPr="003E45F8">
        <w:rPr>
          <w:i/>
        </w:rPr>
        <w:t>monocytogenes</w:t>
      </w:r>
      <w:bookmarkEnd w:id="37"/>
      <w:proofErr w:type="spellEnd"/>
    </w:p>
    <w:p w14:paraId="5221E474" w14:textId="77777777" w:rsidR="00296B67" w:rsidRDefault="00296B67" w:rsidP="0024531A">
      <w:pPr>
        <w:pStyle w:val="Lgende"/>
        <w:rPr>
          <w:iCs/>
          <w:color w:val="000000"/>
        </w:rPr>
      </w:pPr>
    </w:p>
    <w:p w14:paraId="0DC80250" w14:textId="773FDB86" w:rsidR="00B8705D" w:rsidRDefault="00B8705D" w:rsidP="00B8705D">
      <w:pPr>
        <w:rPr>
          <w:lang w:eastAsia="en-US" w:bidi="en-US"/>
        </w:rPr>
      </w:pPr>
      <w:r>
        <w:rPr>
          <w:iCs/>
          <w:color w:val="000000"/>
        </w:rPr>
        <w:t xml:space="preserve">Les souches </w:t>
      </w:r>
      <w:r w:rsidR="003E45F8">
        <w:rPr>
          <w:iCs/>
          <w:color w:val="000000"/>
        </w:rPr>
        <w:t>sélectionnées</w:t>
      </w:r>
      <w:r>
        <w:rPr>
          <w:iCs/>
          <w:color w:val="000000"/>
        </w:rPr>
        <w:t xml:space="preserve"> étaient principalement de la ligné</w:t>
      </w:r>
      <w:r w:rsidR="003E45F8">
        <w:rPr>
          <w:iCs/>
          <w:color w:val="000000"/>
        </w:rPr>
        <w:t>e</w:t>
      </w:r>
      <w:r>
        <w:rPr>
          <w:iCs/>
          <w:color w:val="000000"/>
        </w:rPr>
        <w:t xml:space="preserve"> II, </w:t>
      </w:r>
      <w:proofErr w:type="spellStart"/>
      <w:r>
        <w:rPr>
          <w:iCs/>
          <w:color w:val="000000"/>
        </w:rPr>
        <w:t>sérogroupe</w:t>
      </w:r>
      <w:proofErr w:type="spellEnd"/>
      <w:r>
        <w:rPr>
          <w:iCs/>
          <w:color w:val="000000"/>
        </w:rPr>
        <w:t xml:space="preserve"> </w:t>
      </w:r>
      <w:proofErr w:type="spellStart"/>
      <w:r>
        <w:rPr>
          <w:iCs/>
          <w:color w:val="000000"/>
        </w:rPr>
        <w:t>IIa</w:t>
      </w:r>
      <w:proofErr w:type="spellEnd"/>
      <w:r>
        <w:rPr>
          <w:iCs/>
          <w:color w:val="000000"/>
        </w:rPr>
        <w:t xml:space="preserve"> et </w:t>
      </w:r>
      <w:proofErr w:type="spellStart"/>
      <w:r>
        <w:rPr>
          <w:iCs/>
          <w:color w:val="000000"/>
        </w:rPr>
        <w:t>sérotype</w:t>
      </w:r>
      <w:proofErr w:type="spellEnd"/>
      <w:r>
        <w:rPr>
          <w:iCs/>
          <w:color w:val="000000"/>
        </w:rPr>
        <w:t xml:space="preserve"> 1 /2a</w:t>
      </w:r>
      <w:r w:rsidR="003E45F8">
        <w:rPr>
          <w:iCs/>
          <w:color w:val="000000"/>
        </w:rPr>
        <w:t xml:space="preserve"> et elles </w:t>
      </w:r>
      <w:r w:rsidR="00C47BBD">
        <w:rPr>
          <w:iCs/>
          <w:color w:val="000000"/>
        </w:rPr>
        <w:t>ont été</w:t>
      </w:r>
      <w:r w:rsidR="003E45F8">
        <w:rPr>
          <w:iCs/>
          <w:color w:val="000000"/>
        </w:rPr>
        <w:t xml:space="preserve"> princi</w:t>
      </w:r>
      <w:r w:rsidR="000F1321">
        <w:rPr>
          <w:iCs/>
          <w:color w:val="000000"/>
        </w:rPr>
        <w:t>palement isolées dans</w:t>
      </w:r>
      <w:r w:rsidR="00C47BBD">
        <w:rPr>
          <w:iCs/>
          <w:color w:val="000000"/>
        </w:rPr>
        <w:t xml:space="preserve"> les ateliers de transformation de saumon fumé</w:t>
      </w:r>
      <w:r w:rsidR="000F1321">
        <w:rPr>
          <w:iCs/>
          <w:color w:val="000000"/>
        </w:rPr>
        <w:t xml:space="preserve"> </w:t>
      </w:r>
      <w:r w:rsidR="003E45F8">
        <w:rPr>
          <w:iCs/>
          <w:color w:val="000000"/>
        </w:rPr>
        <w:t xml:space="preserve"> </w:t>
      </w:r>
      <w:r w:rsidR="003309BE">
        <w:rPr>
          <w:iCs/>
          <w:color w:val="000000"/>
        </w:rPr>
        <w:t>(</w:t>
      </w:r>
      <w:r w:rsidR="003309BE">
        <w:rPr>
          <w:iCs/>
          <w:color w:val="000000"/>
        </w:rPr>
        <w:fldChar w:fldCharType="begin"/>
      </w:r>
      <w:r w:rsidR="003309BE">
        <w:rPr>
          <w:iCs/>
          <w:color w:val="000000"/>
        </w:rPr>
        <w:instrText xml:space="preserve"> REF _Ref70367445 \h </w:instrText>
      </w:r>
      <w:r w:rsidR="003309BE">
        <w:rPr>
          <w:iCs/>
          <w:color w:val="000000"/>
        </w:rPr>
      </w:r>
      <w:r w:rsidR="003309BE">
        <w:rPr>
          <w:iCs/>
          <w:color w:val="000000"/>
        </w:rPr>
        <w:fldChar w:fldCharType="separate"/>
      </w:r>
      <w:r w:rsidR="00631F94">
        <w:t xml:space="preserve">Tableau </w:t>
      </w:r>
      <w:r w:rsidR="00631F94">
        <w:rPr>
          <w:noProof/>
        </w:rPr>
        <w:t>1</w:t>
      </w:r>
      <w:r w:rsidR="003309BE">
        <w:rPr>
          <w:iCs/>
          <w:color w:val="000000"/>
        </w:rPr>
        <w:fldChar w:fldCharType="end"/>
      </w:r>
      <w:r w:rsidR="003309BE">
        <w:rPr>
          <w:iCs/>
          <w:color w:val="000000"/>
        </w:rPr>
        <w:t>)</w:t>
      </w:r>
      <w:r>
        <w:rPr>
          <w:iCs/>
          <w:color w:val="000000"/>
        </w:rPr>
        <w:t xml:space="preserve">. Les souches de la lignée I provenaient majoritairement d’atelier de transformation de la truite. </w:t>
      </w:r>
    </w:p>
    <w:p w14:paraId="40FEC072" w14:textId="6594F1AE" w:rsidR="00B8705D" w:rsidRDefault="00B8705D" w:rsidP="00B8705D">
      <w:pPr>
        <w:rPr>
          <w:lang w:eastAsia="en-US" w:bidi="en-US"/>
        </w:rPr>
      </w:pPr>
    </w:p>
    <w:p w14:paraId="1E088D3C" w14:textId="1BAC2565" w:rsidR="003E45F8" w:rsidRDefault="003E45F8" w:rsidP="00B8705D">
      <w:pPr>
        <w:rPr>
          <w:lang w:eastAsia="en-US" w:bidi="en-US"/>
        </w:rPr>
      </w:pPr>
    </w:p>
    <w:p w14:paraId="362361FE" w14:textId="6C89FC39" w:rsidR="003E45F8" w:rsidRDefault="003E45F8" w:rsidP="00B8705D">
      <w:pPr>
        <w:rPr>
          <w:lang w:eastAsia="en-US" w:bidi="en-US"/>
        </w:rPr>
      </w:pPr>
    </w:p>
    <w:p w14:paraId="049DF725" w14:textId="77777777" w:rsidR="003E45F8" w:rsidRDefault="003E45F8" w:rsidP="00B8705D">
      <w:pPr>
        <w:rPr>
          <w:lang w:eastAsia="en-US" w:bidi="en-US"/>
        </w:rPr>
      </w:pPr>
    </w:p>
    <w:p w14:paraId="188300E7" w14:textId="6588A02B" w:rsidR="003309BE" w:rsidRPr="00B8705D" w:rsidRDefault="003309BE" w:rsidP="003309BE">
      <w:pPr>
        <w:pStyle w:val="Lgende"/>
      </w:pPr>
      <w:bookmarkStart w:id="38" w:name="_Ref70367445"/>
      <w:bookmarkStart w:id="39" w:name="_Toc70681276"/>
      <w:bookmarkStart w:id="40" w:name="_Toc73027711"/>
      <w:r>
        <w:lastRenderedPageBreak/>
        <w:t xml:space="preserve">Tableau </w:t>
      </w:r>
      <w:r w:rsidR="00657B21">
        <w:fldChar w:fldCharType="begin"/>
      </w:r>
      <w:r w:rsidR="00657B21">
        <w:instrText xml:space="preserve"> SEQ Tableau \* ARABIC </w:instrText>
      </w:r>
      <w:r w:rsidR="00657B21">
        <w:fldChar w:fldCharType="separate"/>
      </w:r>
      <w:r w:rsidR="003E5038">
        <w:rPr>
          <w:noProof/>
        </w:rPr>
        <w:t>1</w:t>
      </w:r>
      <w:r w:rsidR="00657B21">
        <w:rPr>
          <w:noProof/>
        </w:rPr>
        <w:fldChar w:fldCharType="end"/>
      </w:r>
      <w:bookmarkEnd w:id="38"/>
      <w:r>
        <w:t xml:space="preserve"> : Lignées, </w:t>
      </w:r>
      <w:proofErr w:type="spellStart"/>
      <w:r>
        <w:t>sérogroupe</w:t>
      </w:r>
      <w:r w:rsidR="00C47BBD">
        <w:t>s</w:t>
      </w:r>
      <w:proofErr w:type="spellEnd"/>
      <w:r>
        <w:t xml:space="preserve"> et </w:t>
      </w:r>
      <w:proofErr w:type="spellStart"/>
      <w:r>
        <w:t>sérotypes</w:t>
      </w:r>
      <w:proofErr w:type="spellEnd"/>
      <w:r>
        <w:t xml:space="preserve"> des souches du panel.</w:t>
      </w:r>
      <w:bookmarkEnd w:id="39"/>
      <w:bookmarkEnd w:id="40"/>
      <w:r>
        <w:t xml:space="preserve"> </w:t>
      </w:r>
    </w:p>
    <w:tbl>
      <w:tblPr>
        <w:tblW w:w="6799" w:type="dxa"/>
        <w:tblCellMar>
          <w:left w:w="70" w:type="dxa"/>
          <w:right w:w="70" w:type="dxa"/>
        </w:tblCellMar>
        <w:tblLook w:val="04A0" w:firstRow="1" w:lastRow="0" w:firstColumn="1" w:lastColumn="0" w:noHBand="0" w:noVBand="1"/>
      </w:tblPr>
      <w:tblGrid>
        <w:gridCol w:w="2547"/>
        <w:gridCol w:w="1843"/>
        <w:gridCol w:w="2409"/>
      </w:tblGrid>
      <w:tr w:rsidR="00496A76" w:rsidRPr="00296B67" w14:paraId="10B66B2A" w14:textId="77777777" w:rsidTr="00C47BBD">
        <w:trPr>
          <w:trHeight w:val="315"/>
        </w:trPr>
        <w:tc>
          <w:tcPr>
            <w:tcW w:w="254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4470DBF1"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Lignées</w:t>
            </w:r>
          </w:p>
        </w:tc>
        <w:tc>
          <w:tcPr>
            <w:tcW w:w="1843" w:type="dxa"/>
            <w:tcBorders>
              <w:top w:val="single" w:sz="4" w:space="0" w:color="auto"/>
              <w:left w:val="nil"/>
              <w:bottom w:val="single" w:sz="4" w:space="0" w:color="auto"/>
              <w:right w:val="single" w:sz="4" w:space="0" w:color="auto"/>
            </w:tcBorders>
            <w:shd w:val="clear" w:color="000000" w:fill="BFBFBF"/>
            <w:noWrap/>
            <w:vAlign w:val="center"/>
            <w:hideMark/>
          </w:tcPr>
          <w:p w14:paraId="38B29441" w14:textId="77777777" w:rsidR="00496A76" w:rsidRPr="00296B67" w:rsidRDefault="00496A76" w:rsidP="00FF61E3">
            <w:pPr>
              <w:spacing w:line="240" w:lineRule="auto"/>
              <w:jc w:val="center"/>
              <w:rPr>
                <w:rFonts w:ascii="Calibri" w:hAnsi="Calibri" w:cs="Calibri"/>
                <w:color w:val="000000"/>
              </w:rPr>
            </w:pPr>
            <w:proofErr w:type="spellStart"/>
            <w:r w:rsidRPr="00296B67">
              <w:rPr>
                <w:rFonts w:ascii="Calibri" w:hAnsi="Calibri" w:cs="Calibri"/>
                <w:color w:val="000000"/>
              </w:rPr>
              <w:t>Sérogroupes</w:t>
            </w:r>
            <w:proofErr w:type="spellEnd"/>
          </w:p>
        </w:tc>
        <w:tc>
          <w:tcPr>
            <w:tcW w:w="2409" w:type="dxa"/>
            <w:tcBorders>
              <w:top w:val="single" w:sz="4" w:space="0" w:color="auto"/>
              <w:left w:val="nil"/>
              <w:bottom w:val="single" w:sz="4" w:space="0" w:color="auto"/>
              <w:right w:val="single" w:sz="4" w:space="0" w:color="auto"/>
            </w:tcBorders>
            <w:shd w:val="clear" w:color="000000" w:fill="BFBFBF"/>
            <w:noWrap/>
            <w:vAlign w:val="center"/>
            <w:hideMark/>
          </w:tcPr>
          <w:p w14:paraId="35EE4413" w14:textId="77777777" w:rsidR="00496A76" w:rsidRPr="00296B67" w:rsidRDefault="00496A76" w:rsidP="00FF61E3">
            <w:pPr>
              <w:spacing w:line="240" w:lineRule="auto"/>
              <w:jc w:val="center"/>
              <w:rPr>
                <w:rFonts w:ascii="Calibri" w:hAnsi="Calibri" w:cs="Calibri"/>
                <w:color w:val="000000"/>
              </w:rPr>
            </w:pPr>
            <w:proofErr w:type="spellStart"/>
            <w:r w:rsidRPr="00296B67">
              <w:rPr>
                <w:rFonts w:ascii="Calibri" w:hAnsi="Calibri" w:cs="Calibri"/>
                <w:color w:val="000000"/>
              </w:rPr>
              <w:t>Sérotypes</w:t>
            </w:r>
            <w:proofErr w:type="spellEnd"/>
          </w:p>
        </w:tc>
      </w:tr>
      <w:tr w:rsidR="00496A76" w:rsidRPr="00296B67" w14:paraId="36664496" w14:textId="77777777" w:rsidTr="00C47BBD">
        <w:trPr>
          <w:trHeight w:val="600"/>
        </w:trPr>
        <w:tc>
          <w:tcPr>
            <w:tcW w:w="2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39F111"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Lignée I  (26 souches)</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E1E59A" w14:textId="77777777" w:rsidR="00496A76" w:rsidRPr="00296B67" w:rsidRDefault="00496A76" w:rsidP="00FF61E3">
            <w:pPr>
              <w:spacing w:line="240" w:lineRule="auto"/>
              <w:jc w:val="center"/>
              <w:rPr>
                <w:rFonts w:ascii="Calibri" w:hAnsi="Calibri" w:cs="Calibri"/>
                <w:color w:val="000000"/>
              </w:rPr>
            </w:pPr>
            <w:proofErr w:type="spellStart"/>
            <w:r w:rsidRPr="00296B67">
              <w:rPr>
                <w:rFonts w:ascii="Calibri" w:hAnsi="Calibri" w:cs="Calibri"/>
                <w:color w:val="000000"/>
              </w:rPr>
              <w:t>IIb</w:t>
            </w:r>
            <w:proofErr w:type="spellEnd"/>
            <w:r w:rsidRPr="00296B67">
              <w:rPr>
                <w:rFonts w:ascii="Calibri" w:hAnsi="Calibri" w:cs="Calibri"/>
                <w:color w:val="000000"/>
              </w:rPr>
              <w:t xml:space="preserve"> (11 souches)</w:t>
            </w:r>
          </w:p>
        </w:tc>
        <w:tc>
          <w:tcPr>
            <w:tcW w:w="2409" w:type="dxa"/>
            <w:tcBorders>
              <w:top w:val="nil"/>
              <w:left w:val="nil"/>
              <w:bottom w:val="single" w:sz="4" w:space="0" w:color="auto"/>
              <w:right w:val="single" w:sz="4" w:space="0" w:color="auto"/>
            </w:tcBorders>
            <w:shd w:val="clear" w:color="auto" w:fill="auto"/>
            <w:vAlign w:val="center"/>
            <w:hideMark/>
          </w:tcPr>
          <w:p w14:paraId="03322947"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1/2b (5 souches)</w:t>
            </w:r>
          </w:p>
        </w:tc>
      </w:tr>
      <w:tr w:rsidR="00496A76" w:rsidRPr="00296B67" w14:paraId="6D59A46B" w14:textId="77777777" w:rsidTr="00C47BBD">
        <w:trPr>
          <w:trHeight w:val="315"/>
        </w:trPr>
        <w:tc>
          <w:tcPr>
            <w:tcW w:w="2547" w:type="dxa"/>
            <w:vMerge/>
            <w:tcBorders>
              <w:top w:val="nil"/>
              <w:left w:val="single" w:sz="4" w:space="0" w:color="auto"/>
              <w:bottom w:val="single" w:sz="4" w:space="0" w:color="auto"/>
              <w:right w:val="single" w:sz="4" w:space="0" w:color="auto"/>
            </w:tcBorders>
            <w:vAlign w:val="center"/>
            <w:hideMark/>
          </w:tcPr>
          <w:p w14:paraId="0C620664" w14:textId="77777777" w:rsidR="00496A76" w:rsidRPr="00296B67" w:rsidRDefault="00496A76" w:rsidP="00FF61E3">
            <w:pPr>
              <w:spacing w:line="240" w:lineRule="auto"/>
              <w:jc w:val="left"/>
              <w:rPr>
                <w:rFonts w:ascii="Calibri" w:hAnsi="Calibri" w:cs="Calibri"/>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279BD0EB" w14:textId="77777777" w:rsidR="00496A76" w:rsidRPr="00296B67" w:rsidRDefault="00496A76" w:rsidP="00FF61E3">
            <w:pPr>
              <w:spacing w:line="240" w:lineRule="auto"/>
              <w:jc w:val="left"/>
              <w:rPr>
                <w:rFonts w:ascii="Calibri" w:hAnsi="Calibri" w:cs="Calibri"/>
                <w:color w:val="000000"/>
              </w:rPr>
            </w:pPr>
          </w:p>
        </w:tc>
        <w:tc>
          <w:tcPr>
            <w:tcW w:w="2409" w:type="dxa"/>
            <w:tcBorders>
              <w:top w:val="nil"/>
              <w:left w:val="nil"/>
              <w:bottom w:val="single" w:sz="4" w:space="0" w:color="auto"/>
              <w:right w:val="single" w:sz="4" w:space="0" w:color="auto"/>
            </w:tcBorders>
            <w:shd w:val="clear" w:color="auto" w:fill="auto"/>
            <w:vAlign w:val="center"/>
            <w:hideMark/>
          </w:tcPr>
          <w:p w14:paraId="1FAA8FC1"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1/2b, 3b, 7 (6 souches)</w:t>
            </w:r>
          </w:p>
        </w:tc>
      </w:tr>
      <w:tr w:rsidR="00496A76" w:rsidRPr="00296B67" w14:paraId="6057F6CB" w14:textId="77777777" w:rsidTr="00C47BBD">
        <w:trPr>
          <w:trHeight w:val="315"/>
        </w:trPr>
        <w:tc>
          <w:tcPr>
            <w:tcW w:w="2547" w:type="dxa"/>
            <w:vMerge/>
            <w:tcBorders>
              <w:top w:val="nil"/>
              <w:left w:val="single" w:sz="4" w:space="0" w:color="auto"/>
              <w:bottom w:val="single" w:sz="4" w:space="0" w:color="auto"/>
              <w:right w:val="single" w:sz="4" w:space="0" w:color="auto"/>
            </w:tcBorders>
            <w:vAlign w:val="center"/>
            <w:hideMark/>
          </w:tcPr>
          <w:p w14:paraId="23059DC0" w14:textId="77777777" w:rsidR="00496A76" w:rsidRPr="00296B67" w:rsidRDefault="00496A76" w:rsidP="00FF61E3">
            <w:pPr>
              <w:spacing w:line="240" w:lineRule="auto"/>
              <w:jc w:val="left"/>
              <w:rPr>
                <w:rFonts w:ascii="Calibri" w:hAnsi="Calibri" w:cs="Calibri"/>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29819269" w14:textId="77777777" w:rsidR="00496A76" w:rsidRPr="00296B67" w:rsidRDefault="00496A76" w:rsidP="00FF61E3">
            <w:pPr>
              <w:spacing w:line="240" w:lineRule="auto"/>
              <w:jc w:val="left"/>
              <w:rPr>
                <w:rFonts w:ascii="Calibri" w:hAnsi="Calibri" w:cs="Calibri"/>
                <w:color w:val="000000"/>
              </w:rPr>
            </w:pPr>
          </w:p>
        </w:tc>
        <w:tc>
          <w:tcPr>
            <w:tcW w:w="2409" w:type="dxa"/>
            <w:tcBorders>
              <w:top w:val="nil"/>
              <w:left w:val="nil"/>
              <w:bottom w:val="single" w:sz="4" w:space="0" w:color="auto"/>
              <w:right w:val="single" w:sz="4" w:space="0" w:color="auto"/>
            </w:tcBorders>
            <w:shd w:val="clear" w:color="auto" w:fill="auto"/>
            <w:vAlign w:val="center"/>
            <w:hideMark/>
          </w:tcPr>
          <w:p w14:paraId="6ADAA0CE"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4b (5 souches)</w:t>
            </w:r>
          </w:p>
        </w:tc>
      </w:tr>
      <w:tr w:rsidR="00496A76" w:rsidRPr="00296B67" w14:paraId="3038517A" w14:textId="77777777" w:rsidTr="00C47BBD">
        <w:trPr>
          <w:trHeight w:val="315"/>
        </w:trPr>
        <w:tc>
          <w:tcPr>
            <w:tcW w:w="2547" w:type="dxa"/>
            <w:vMerge/>
            <w:tcBorders>
              <w:top w:val="nil"/>
              <w:left w:val="single" w:sz="4" w:space="0" w:color="auto"/>
              <w:bottom w:val="single" w:sz="4" w:space="0" w:color="auto"/>
              <w:right w:val="single" w:sz="4" w:space="0" w:color="auto"/>
            </w:tcBorders>
            <w:vAlign w:val="center"/>
            <w:hideMark/>
          </w:tcPr>
          <w:p w14:paraId="29A3C29B" w14:textId="77777777" w:rsidR="00496A76" w:rsidRPr="00296B67" w:rsidRDefault="00496A76" w:rsidP="00FF61E3">
            <w:pPr>
              <w:spacing w:line="240" w:lineRule="auto"/>
              <w:jc w:val="left"/>
              <w:rPr>
                <w:rFonts w:ascii="Calibri" w:hAnsi="Calibri" w:cs="Calibri"/>
                <w:color w:val="000000"/>
              </w:rPr>
            </w:pPr>
          </w:p>
        </w:tc>
        <w:tc>
          <w:tcPr>
            <w:tcW w:w="1843" w:type="dxa"/>
            <w:tcBorders>
              <w:top w:val="nil"/>
              <w:left w:val="nil"/>
              <w:bottom w:val="single" w:sz="4" w:space="0" w:color="auto"/>
              <w:right w:val="single" w:sz="4" w:space="0" w:color="auto"/>
            </w:tcBorders>
            <w:shd w:val="clear" w:color="auto" w:fill="auto"/>
            <w:noWrap/>
            <w:vAlign w:val="center"/>
            <w:hideMark/>
          </w:tcPr>
          <w:p w14:paraId="0A6D8DA0" w14:textId="77777777" w:rsidR="00496A76" w:rsidRPr="00296B67" w:rsidRDefault="00496A76" w:rsidP="00FF61E3">
            <w:pPr>
              <w:spacing w:line="240" w:lineRule="auto"/>
              <w:jc w:val="center"/>
              <w:rPr>
                <w:rFonts w:ascii="Calibri" w:hAnsi="Calibri" w:cs="Calibri"/>
                <w:color w:val="000000"/>
              </w:rPr>
            </w:pPr>
            <w:proofErr w:type="spellStart"/>
            <w:r w:rsidRPr="00296B67">
              <w:rPr>
                <w:rFonts w:ascii="Calibri" w:hAnsi="Calibri" w:cs="Calibri"/>
                <w:color w:val="000000"/>
              </w:rPr>
              <w:t>IVb</w:t>
            </w:r>
            <w:proofErr w:type="spellEnd"/>
            <w:r w:rsidRPr="00296B67">
              <w:rPr>
                <w:rFonts w:ascii="Calibri" w:hAnsi="Calibri" w:cs="Calibri"/>
                <w:color w:val="000000"/>
              </w:rPr>
              <w:t xml:space="preserve"> (15 souches)</w:t>
            </w:r>
          </w:p>
        </w:tc>
        <w:tc>
          <w:tcPr>
            <w:tcW w:w="2409" w:type="dxa"/>
            <w:tcBorders>
              <w:top w:val="nil"/>
              <w:left w:val="nil"/>
              <w:bottom w:val="single" w:sz="4" w:space="0" w:color="auto"/>
              <w:right w:val="single" w:sz="4" w:space="0" w:color="auto"/>
            </w:tcBorders>
            <w:shd w:val="clear" w:color="auto" w:fill="auto"/>
            <w:noWrap/>
            <w:vAlign w:val="center"/>
            <w:hideMark/>
          </w:tcPr>
          <w:p w14:paraId="27DEFA62"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4b, 4d, 4e (10 souches)</w:t>
            </w:r>
          </w:p>
        </w:tc>
      </w:tr>
      <w:tr w:rsidR="00496A76" w:rsidRPr="00296B67" w14:paraId="783188F2" w14:textId="77777777" w:rsidTr="00C47BBD">
        <w:trPr>
          <w:trHeight w:val="315"/>
        </w:trPr>
        <w:tc>
          <w:tcPr>
            <w:tcW w:w="254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9A80EB"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Lignée II  (678 souches)</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50C223" w14:textId="77777777" w:rsidR="00496A76" w:rsidRPr="00296B67" w:rsidRDefault="00496A76" w:rsidP="00FF61E3">
            <w:pPr>
              <w:spacing w:line="240" w:lineRule="auto"/>
              <w:jc w:val="center"/>
              <w:rPr>
                <w:rFonts w:ascii="Calibri" w:hAnsi="Calibri" w:cs="Calibri"/>
                <w:color w:val="000000"/>
              </w:rPr>
            </w:pPr>
            <w:proofErr w:type="spellStart"/>
            <w:r w:rsidRPr="00296B67">
              <w:rPr>
                <w:rFonts w:ascii="Calibri" w:hAnsi="Calibri" w:cs="Calibri"/>
                <w:color w:val="000000"/>
              </w:rPr>
              <w:t>IIa</w:t>
            </w:r>
            <w:proofErr w:type="spellEnd"/>
            <w:r w:rsidRPr="00296B67">
              <w:rPr>
                <w:rFonts w:ascii="Calibri" w:hAnsi="Calibri" w:cs="Calibri"/>
                <w:color w:val="000000"/>
              </w:rPr>
              <w:t xml:space="preserve"> (678 souches)</w:t>
            </w:r>
          </w:p>
        </w:tc>
        <w:tc>
          <w:tcPr>
            <w:tcW w:w="2409" w:type="dxa"/>
            <w:tcBorders>
              <w:top w:val="nil"/>
              <w:left w:val="nil"/>
              <w:bottom w:val="single" w:sz="4" w:space="0" w:color="auto"/>
              <w:right w:val="single" w:sz="4" w:space="0" w:color="auto"/>
            </w:tcBorders>
            <w:shd w:val="clear" w:color="auto" w:fill="auto"/>
            <w:noWrap/>
            <w:vAlign w:val="center"/>
            <w:hideMark/>
          </w:tcPr>
          <w:p w14:paraId="4234A1D7"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1/2a (671 souches)</w:t>
            </w:r>
          </w:p>
        </w:tc>
      </w:tr>
      <w:tr w:rsidR="00496A76" w:rsidRPr="00296B67" w14:paraId="02D6E689" w14:textId="77777777" w:rsidTr="00C47BBD">
        <w:trPr>
          <w:trHeight w:val="315"/>
        </w:trPr>
        <w:tc>
          <w:tcPr>
            <w:tcW w:w="2547" w:type="dxa"/>
            <w:vMerge/>
            <w:tcBorders>
              <w:top w:val="nil"/>
              <w:left w:val="single" w:sz="4" w:space="0" w:color="auto"/>
              <w:bottom w:val="single" w:sz="4" w:space="0" w:color="auto"/>
              <w:right w:val="single" w:sz="4" w:space="0" w:color="auto"/>
            </w:tcBorders>
            <w:vAlign w:val="center"/>
            <w:hideMark/>
          </w:tcPr>
          <w:p w14:paraId="1F5FB5EF" w14:textId="77777777" w:rsidR="00496A76" w:rsidRPr="00296B67" w:rsidRDefault="00496A76" w:rsidP="00FF61E3">
            <w:pPr>
              <w:spacing w:line="240" w:lineRule="auto"/>
              <w:jc w:val="left"/>
              <w:rPr>
                <w:rFonts w:ascii="Calibri" w:hAnsi="Calibri" w:cs="Calibri"/>
                <w:color w:val="000000"/>
              </w:rPr>
            </w:pPr>
          </w:p>
        </w:tc>
        <w:tc>
          <w:tcPr>
            <w:tcW w:w="1843" w:type="dxa"/>
            <w:vMerge/>
            <w:tcBorders>
              <w:top w:val="nil"/>
              <w:left w:val="single" w:sz="4" w:space="0" w:color="auto"/>
              <w:bottom w:val="single" w:sz="4" w:space="0" w:color="auto"/>
              <w:right w:val="single" w:sz="4" w:space="0" w:color="auto"/>
            </w:tcBorders>
            <w:vAlign w:val="center"/>
            <w:hideMark/>
          </w:tcPr>
          <w:p w14:paraId="35D35BC8" w14:textId="77777777" w:rsidR="00496A76" w:rsidRPr="00296B67" w:rsidRDefault="00496A76" w:rsidP="00FF61E3">
            <w:pPr>
              <w:spacing w:line="240" w:lineRule="auto"/>
              <w:jc w:val="left"/>
              <w:rPr>
                <w:rFonts w:ascii="Calibri" w:hAnsi="Calibri" w:cs="Calibri"/>
                <w:color w:val="000000"/>
              </w:rPr>
            </w:pPr>
          </w:p>
        </w:tc>
        <w:tc>
          <w:tcPr>
            <w:tcW w:w="2409" w:type="dxa"/>
            <w:tcBorders>
              <w:top w:val="nil"/>
              <w:left w:val="nil"/>
              <w:bottom w:val="single" w:sz="4" w:space="0" w:color="auto"/>
              <w:right w:val="single" w:sz="4" w:space="0" w:color="auto"/>
            </w:tcBorders>
            <w:shd w:val="clear" w:color="auto" w:fill="auto"/>
            <w:noWrap/>
            <w:vAlign w:val="center"/>
            <w:hideMark/>
          </w:tcPr>
          <w:p w14:paraId="0874C5DA" w14:textId="77777777" w:rsidR="00496A76" w:rsidRPr="00296B67" w:rsidRDefault="00496A76" w:rsidP="00FF61E3">
            <w:pPr>
              <w:spacing w:line="240" w:lineRule="auto"/>
              <w:jc w:val="center"/>
              <w:rPr>
                <w:rFonts w:ascii="Calibri" w:hAnsi="Calibri" w:cs="Calibri"/>
                <w:color w:val="000000"/>
              </w:rPr>
            </w:pPr>
            <w:r w:rsidRPr="00296B67">
              <w:rPr>
                <w:rFonts w:ascii="Calibri" w:hAnsi="Calibri" w:cs="Calibri"/>
                <w:color w:val="000000"/>
              </w:rPr>
              <w:t>1/2a, 3a (7 souches)</w:t>
            </w:r>
          </w:p>
        </w:tc>
      </w:tr>
    </w:tbl>
    <w:p w14:paraId="4545B211" w14:textId="2D146F92" w:rsidR="004A596F" w:rsidRPr="0090118F" w:rsidRDefault="004A596F" w:rsidP="00560106">
      <w:pPr>
        <w:pStyle w:val="Titre4"/>
      </w:pPr>
      <w:r>
        <w:t>Diversité génétique du panel</w:t>
      </w:r>
    </w:p>
    <w:p w14:paraId="5C349A6C" w14:textId="7BB78563" w:rsidR="004A596F" w:rsidRPr="004A596F" w:rsidRDefault="004A596F" w:rsidP="004A596F">
      <w:pPr>
        <w:pStyle w:val="Titre5"/>
      </w:pPr>
      <w:r w:rsidRPr="004A596F">
        <w:t xml:space="preserve">Diversité génétique </w:t>
      </w:r>
      <w:r>
        <w:t>identifié</w:t>
      </w:r>
      <w:r w:rsidR="00C47BBD">
        <w:t>e</w:t>
      </w:r>
      <w:r>
        <w:t xml:space="preserve"> par </w:t>
      </w:r>
      <w:r w:rsidR="00C47BBD">
        <w:t>« </w:t>
      </w:r>
      <w:proofErr w:type="spellStart"/>
      <w:r>
        <w:t>mapping</w:t>
      </w:r>
      <w:proofErr w:type="spellEnd"/>
      <w:r w:rsidR="00C47BBD">
        <w:t> »</w:t>
      </w:r>
    </w:p>
    <w:p w14:paraId="235D5233" w14:textId="02E9BB5E" w:rsidR="00B67873" w:rsidRDefault="00FF61E3" w:rsidP="004D4E14">
      <w:pPr>
        <w:ind w:firstLine="708"/>
        <w:rPr>
          <w:iCs/>
          <w:color w:val="000000"/>
        </w:rPr>
      </w:pPr>
      <w:r>
        <w:rPr>
          <w:iCs/>
          <w:color w:val="000000"/>
        </w:rPr>
        <w:t xml:space="preserve">Suite au </w:t>
      </w:r>
      <w:r w:rsidR="00C47BBD">
        <w:rPr>
          <w:iCs/>
          <w:color w:val="000000"/>
        </w:rPr>
        <w:t>« </w:t>
      </w:r>
      <w:proofErr w:type="spellStart"/>
      <w:r>
        <w:rPr>
          <w:iCs/>
          <w:color w:val="000000"/>
        </w:rPr>
        <w:t>mapping</w:t>
      </w:r>
      <w:proofErr w:type="spellEnd"/>
      <w:r w:rsidR="00C47BBD">
        <w:rPr>
          <w:iCs/>
          <w:color w:val="000000"/>
        </w:rPr>
        <w:t> »</w:t>
      </w:r>
      <w:r>
        <w:rPr>
          <w:iCs/>
          <w:color w:val="000000"/>
        </w:rPr>
        <w:t xml:space="preserve"> PFGE, </w:t>
      </w:r>
      <w:r w:rsidR="003E6FE2">
        <w:rPr>
          <w:iCs/>
          <w:color w:val="000000"/>
        </w:rPr>
        <w:t xml:space="preserve">les </w:t>
      </w:r>
      <w:proofErr w:type="spellStart"/>
      <w:r w:rsidR="003E6FE2">
        <w:rPr>
          <w:iCs/>
          <w:color w:val="000000"/>
        </w:rPr>
        <w:t>CC</w:t>
      </w:r>
      <w:r w:rsidR="00571BFC">
        <w:rPr>
          <w:iCs/>
          <w:color w:val="000000"/>
        </w:rPr>
        <w:t>s</w:t>
      </w:r>
      <w:proofErr w:type="spellEnd"/>
      <w:r w:rsidR="003E6FE2">
        <w:rPr>
          <w:iCs/>
          <w:color w:val="000000"/>
        </w:rPr>
        <w:t xml:space="preserve"> de </w:t>
      </w:r>
      <w:r w:rsidR="00571BFC">
        <w:rPr>
          <w:iCs/>
          <w:color w:val="000000"/>
        </w:rPr>
        <w:t>541</w:t>
      </w:r>
      <w:r w:rsidR="003E6FE2">
        <w:rPr>
          <w:iCs/>
          <w:color w:val="000000"/>
        </w:rPr>
        <w:t xml:space="preserve"> souches ont </w:t>
      </w:r>
      <w:r w:rsidR="00EF0787">
        <w:rPr>
          <w:iCs/>
          <w:color w:val="000000"/>
        </w:rPr>
        <w:t>pu être</w:t>
      </w:r>
      <w:r w:rsidR="003E6FE2">
        <w:rPr>
          <w:iCs/>
          <w:color w:val="000000"/>
        </w:rPr>
        <w:t xml:space="preserve"> déterminé</w:t>
      </w:r>
      <w:r w:rsidR="00C47BBD">
        <w:rPr>
          <w:iCs/>
          <w:color w:val="000000"/>
        </w:rPr>
        <w:t>s</w:t>
      </w:r>
      <w:r w:rsidR="003E6FE2">
        <w:rPr>
          <w:iCs/>
          <w:color w:val="000000"/>
        </w:rPr>
        <w:t xml:space="preserve">. Pour </w:t>
      </w:r>
      <w:r w:rsidR="00571BFC">
        <w:rPr>
          <w:iCs/>
          <w:color w:val="000000"/>
        </w:rPr>
        <w:t>157</w:t>
      </w:r>
      <w:r w:rsidR="003E6FE2">
        <w:rPr>
          <w:iCs/>
          <w:color w:val="000000"/>
        </w:rPr>
        <w:t xml:space="preserve"> souche</w:t>
      </w:r>
      <w:r w:rsidR="00C47BBD">
        <w:rPr>
          <w:iCs/>
          <w:color w:val="000000"/>
        </w:rPr>
        <w:t>s,</w:t>
      </w:r>
      <w:r w:rsidR="003E6FE2">
        <w:rPr>
          <w:iCs/>
          <w:color w:val="000000"/>
        </w:rPr>
        <w:t xml:space="preserve"> le </w:t>
      </w:r>
      <w:r w:rsidR="00C47BBD">
        <w:rPr>
          <w:iCs/>
          <w:color w:val="000000"/>
        </w:rPr>
        <w:t>« </w:t>
      </w:r>
      <w:proofErr w:type="spellStart"/>
      <w:r w:rsidR="003E6FE2">
        <w:rPr>
          <w:iCs/>
          <w:color w:val="000000"/>
        </w:rPr>
        <w:t>mapping</w:t>
      </w:r>
      <w:proofErr w:type="spellEnd"/>
      <w:r w:rsidR="003E6FE2">
        <w:rPr>
          <w:iCs/>
          <w:color w:val="000000"/>
        </w:rPr>
        <w:t xml:space="preserve"> </w:t>
      </w:r>
      <w:r w:rsidR="00C47BBD">
        <w:rPr>
          <w:iCs/>
          <w:color w:val="000000"/>
        </w:rPr>
        <w:t>PFGE » n’a pas permis d’identifier</w:t>
      </w:r>
      <w:r w:rsidR="003E6FE2">
        <w:rPr>
          <w:iCs/>
          <w:color w:val="000000"/>
        </w:rPr>
        <w:t xml:space="preserve"> les </w:t>
      </w:r>
      <w:proofErr w:type="spellStart"/>
      <w:r w:rsidR="003E6FE2">
        <w:rPr>
          <w:iCs/>
          <w:color w:val="000000"/>
        </w:rPr>
        <w:t>C</w:t>
      </w:r>
      <w:r w:rsidR="00742BD8">
        <w:rPr>
          <w:iCs/>
          <w:color w:val="000000"/>
        </w:rPr>
        <w:t>C</w:t>
      </w:r>
      <w:r w:rsidR="00C47BBD">
        <w:rPr>
          <w:iCs/>
          <w:color w:val="000000"/>
        </w:rPr>
        <w:t>s</w:t>
      </w:r>
      <w:proofErr w:type="spellEnd"/>
      <w:r w:rsidR="003E6FE2">
        <w:rPr>
          <w:iCs/>
          <w:color w:val="000000"/>
        </w:rPr>
        <w:t xml:space="preserve"> (</w:t>
      </w:r>
      <w:r w:rsidR="003E6FE2">
        <w:rPr>
          <w:iCs/>
          <w:color w:val="000000"/>
        </w:rPr>
        <w:fldChar w:fldCharType="begin"/>
      </w:r>
      <w:r w:rsidR="003E6FE2">
        <w:rPr>
          <w:iCs/>
          <w:color w:val="000000"/>
        </w:rPr>
        <w:instrText xml:space="preserve"> REF _Ref70485467 \h </w:instrText>
      </w:r>
      <w:r w:rsidR="003E6FE2">
        <w:rPr>
          <w:iCs/>
          <w:color w:val="000000"/>
        </w:rPr>
      </w:r>
      <w:r w:rsidR="003E6FE2">
        <w:rPr>
          <w:iCs/>
          <w:color w:val="000000"/>
        </w:rPr>
        <w:fldChar w:fldCharType="separate"/>
      </w:r>
      <w:r w:rsidR="00631F94">
        <w:t xml:space="preserve">Tableau </w:t>
      </w:r>
      <w:r w:rsidR="00631F94">
        <w:rPr>
          <w:noProof/>
        </w:rPr>
        <w:t>2</w:t>
      </w:r>
      <w:r w:rsidR="003E6FE2">
        <w:rPr>
          <w:iCs/>
          <w:color w:val="000000"/>
        </w:rPr>
        <w:fldChar w:fldCharType="end"/>
      </w:r>
      <w:r w:rsidR="004D4E14">
        <w:rPr>
          <w:iCs/>
          <w:color w:val="000000"/>
        </w:rPr>
        <w:t>)</w:t>
      </w:r>
      <w:r w:rsidR="003E6FE2">
        <w:rPr>
          <w:iCs/>
          <w:color w:val="000000"/>
        </w:rPr>
        <w:t>. Ces derniers ont été identifié</w:t>
      </w:r>
      <w:r w:rsidR="00EF0787">
        <w:rPr>
          <w:iCs/>
          <w:color w:val="000000"/>
        </w:rPr>
        <w:t>s</w:t>
      </w:r>
      <w:r w:rsidR="003E6FE2">
        <w:rPr>
          <w:iCs/>
          <w:color w:val="000000"/>
        </w:rPr>
        <w:t xml:space="preserve"> par la PCR </w:t>
      </w:r>
      <w:r w:rsidR="00EF0787">
        <w:rPr>
          <w:iCs/>
          <w:color w:val="000000"/>
        </w:rPr>
        <w:t xml:space="preserve">en temps réel </w:t>
      </w:r>
      <w:proofErr w:type="spellStart"/>
      <w:r w:rsidR="00742BD8">
        <w:rPr>
          <w:iCs/>
          <w:color w:val="000000"/>
        </w:rPr>
        <w:t>Geno</w:t>
      </w:r>
      <w:r w:rsidR="00742BD8" w:rsidRPr="000B69C6">
        <w:rPr>
          <w:i/>
          <w:iCs/>
          <w:color w:val="000000"/>
        </w:rPr>
        <w:t>Listeria</w:t>
      </w:r>
      <w:proofErr w:type="spellEnd"/>
      <w:r w:rsidR="00742BD8">
        <w:rPr>
          <w:iCs/>
          <w:color w:val="000000"/>
        </w:rPr>
        <w:t xml:space="preserve"> </w:t>
      </w:r>
      <w:r w:rsidR="005437B4">
        <w:rPr>
          <w:iCs/>
          <w:color w:val="000000"/>
        </w:rPr>
        <w:t>optimisée</w:t>
      </w:r>
      <w:r w:rsidR="003E6FE2">
        <w:rPr>
          <w:iCs/>
          <w:color w:val="000000"/>
        </w:rPr>
        <w:t xml:space="preserve"> dans ce projet (</w:t>
      </w:r>
      <w:proofErr w:type="spellStart"/>
      <w:r w:rsidR="003E6FE2">
        <w:rPr>
          <w:iCs/>
          <w:color w:val="000000"/>
        </w:rPr>
        <w:t>cf</w:t>
      </w:r>
      <w:proofErr w:type="spellEnd"/>
      <w:r w:rsidR="003E6FE2">
        <w:rPr>
          <w:iCs/>
          <w:color w:val="000000"/>
        </w:rPr>
        <w:t xml:space="preserve"> partie II). En revanche, pour 6 souches, le </w:t>
      </w:r>
      <w:r w:rsidR="00E3630A">
        <w:rPr>
          <w:iCs/>
          <w:color w:val="000000"/>
        </w:rPr>
        <w:t>« </w:t>
      </w:r>
      <w:proofErr w:type="spellStart"/>
      <w:r w:rsidR="003E6FE2">
        <w:rPr>
          <w:iCs/>
          <w:color w:val="000000"/>
        </w:rPr>
        <w:t>mapping</w:t>
      </w:r>
      <w:proofErr w:type="spellEnd"/>
      <w:r w:rsidR="00E3630A">
        <w:rPr>
          <w:iCs/>
          <w:color w:val="000000"/>
        </w:rPr>
        <w:t xml:space="preserve"> PFGE »</w:t>
      </w:r>
      <w:r w:rsidR="003E6FE2">
        <w:rPr>
          <w:iCs/>
          <w:color w:val="000000"/>
        </w:rPr>
        <w:t xml:space="preserve"> et l’analyse par la PCR </w:t>
      </w:r>
      <w:r w:rsidR="00E3630A">
        <w:rPr>
          <w:iCs/>
          <w:color w:val="000000"/>
        </w:rPr>
        <w:t xml:space="preserve">en temps réel </w:t>
      </w:r>
      <w:proofErr w:type="spellStart"/>
      <w:r w:rsidR="00742BD8">
        <w:rPr>
          <w:iCs/>
          <w:color w:val="000000"/>
        </w:rPr>
        <w:t>Geno</w:t>
      </w:r>
      <w:r w:rsidR="00742BD8" w:rsidRPr="00BA4C6E">
        <w:rPr>
          <w:i/>
          <w:iCs/>
          <w:color w:val="000000"/>
        </w:rPr>
        <w:t>Listeria</w:t>
      </w:r>
      <w:proofErr w:type="spellEnd"/>
      <w:r w:rsidR="003E6FE2">
        <w:rPr>
          <w:iCs/>
          <w:color w:val="000000"/>
        </w:rPr>
        <w:t xml:space="preserve"> n’a pas permis un</w:t>
      </w:r>
      <w:r w:rsidR="00571BFC">
        <w:rPr>
          <w:iCs/>
          <w:color w:val="000000"/>
        </w:rPr>
        <w:t xml:space="preserve">e identification des </w:t>
      </w:r>
      <w:proofErr w:type="spellStart"/>
      <w:r w:rsidR="00571BFC">
        <w:rPr>
          <w:iCs/>
          <w:color w:val="000000"/>
        </w:rPr>
        <w:t>CCs</w:t>
      </w:r>
      <w:proofErr w:type="spellEnd"/>
      <w:r w:rsidR="00E10682">
        <w:rPr>
          <w:iCs/>
          <w:color w:val="000000"/>
        </w:rPr>
        <w:t>.</w:t>
      </w:r>
      <w:r w:rsidR="00E3630A">
        <w:rPr>
          <w:iCs/>
          <w:color w:val="000000"/>
        </w:rPr>
        <w:t xml:space="preserve"> Ces souches </w:t>
      </w:r>
      <w:r w:rsidR="0073481B">
        <w:rPr>
          <w:iCs/>
          <w:color w:val="000000"/>
        </w:rPr>
        <w:t>ont été séquencées mais les analyses des génomes sont en cours. Enfin,</w:t>
      </w:r>
      <w:r w:rsidR="003E6FE2">
        <w:rPr>
          <w:iCs/>
          <w:color w:val="000000"/>
        </w:rPr>
        <w:t xml:space="preserve"> 93% (659/704) </w:t>
      </w:r>
      <w:r w:rsidR="003E6FE2" w:rsidRPr="003E6FE2">
        <w:rPr>
          <w:iCs/>
          <w:color w:val="000000"/>
        </w:rPr>
        <w:t xml:space="preserve">des souches de </w:t>
      </w:r>
      <w:r w:rsidR="003E6FE2" w:rsidRPr="003E6FE2">
        <w:rPr>
          <w:i/>
          <w:iCs/>
          <w:color w:val="000000"/>
        </w:rPr>
        <w:t xml:space="preserve">L. </w:t>
      </w:r>
      <w:proofErr w:type="spellStart"/>
      <w:r w:rsidR="003E6FE2" w:rsidRPr="003E6FE2">
        <w:rPr>
          <w:i/>
          <w:iCs/>
          <w:color w:val="000000"/>
        </w:rPr>
        <w:t>monocytogenes</w:t>
      </w:r>
      <w:proofErr w:type="spellEnd"/>
      <w:r w:rsidR="003E6FE2" w:rsidRPr="003E6FE2">
        <w:rPr>
          <w:iCs/>
          <w:color w:val="000000"/>
        </w:rPr>
        <w:t xml:space="preserve"> </w:t>
      </w:r>
      <w:r w:rsidR="0073481B">
        <w:rPr>
          <w:iCs/>
          <w:color w:val="000000"/>
        </w:rPr>
        <w:t xml:space="preserve">appartiennent aux trois </w:t>
      </w:r>
      <w:proofErr w:type="spellStart"/>
      <w:r w:rsidR="003E6FE2">
        <w:rPr>
          <w:iCs/>
          <w:color w:val="000000"/>
        </w:rPr>
        <w:t>CCs</w:t>
      </w:r>
      <w:proofErr w:type="spellEnd"/>
      <w:r w:rsidR="0073481B">
        <w:rPr>
          <w:iCs/>
          <w:color w:val="000000"/>
        </w:rPr>
        <w:t xml:space="preserve"> suivants :</w:t>
      </w:r>
      <w:r w:rsidR="003E6FE2">
        <w:rPr>
          <w:iCs/>
          <w:color w:val="000000"/>
        </w:rPr>
        <w:t xml:space="preserve"> </w:t>
      </w:r>
      <w:r w:rsidR="0073481B">
        <w:rPr>
          <w:iCs/>
          <w:color w:val="000000"/>
        </w:rPr>
        <w:t>CC</w:t>
      </w:r>
      <w:r w:rsidR="003E6FE2">
        <w:rPr>
          <w:iCs/>
          <w:color w:val="000000"/>
        </w:rPr>
        <w:t xml:space="preserve">121 (435 souches), CC26 (155 souches) et CC204 (65 souches). </w:t>
      </w:r>
    </w:p>
    <w:p w14:paraId="17739701" w14:textId="77777777" w:rsidR="00B67873" w:rsidRDefault="00B67873" w:rsidP="004D4E14">
      <w:pPr>
        <w:ind w:firstLine="708"/>
        <w:rPr>
          <w:iCs/>
          <w:color w:val="000000"/>
        </w:rPr>
      </w:pPr>
    </w:p>
    <w:p w14:paraId="12E235B6" w14:textId="592C0419" w:rsidR="00612903" w:rsidRDefault="00B67873" w:rsidP="004D4E14">
      <w:pPr>
        <w:ind w:firstLine="708"/>
        <w:rPr>
          <w:iCs/>
          <w:color w:val="000000"/>
        </w:rPr>
      </w:pPr>
      <w:r>
        <w:rPr>
          <w:iCs/>
          <w:color w:val="000000"/>
        </w:rPr>
        <w:t>Concernant l’occurrence du CC121, c</w:t>
      </w:r>
      <w:r w:rsidR="004A7D73">
        <w:rPr>
          <w:iCs/>
          <w:color w:val="000000"/>
        </w:rPr>
        <w:t xml:space="preserve">es données sont en accord avec les données de </w:t>
      </w:r>
      <w:proofErr w:type="spellStart"/>
      <w:r w:rsidR="004A7D73" w:rsidRPr="00E779C9">
        <w:rPr>
          <w:iCs/>
          <w:color w:val="000000"/>
        </w:rPr>
        <w:t>Wulff</w:t>
      </w:r>
      <w:proofErr w:type="spellEnd"/>
      <w:r w:rsidR="004A7D73" w:rsidRPr="00E779C9">
        <w:rPr>
          <w:iCs/>
          <w:color w:val="000000"/>
        </w:rPr>
        <w:t xml:space="preserve"> </w:t>
      </w:r>
      <w:r w:rsidR="004A7D73" w:rsidRPr="0073481B">
        <w:rPr>
          <w:i/>
          <w:iCs/>
          <w:color w:val="000000"/>
        </w:rPr>
        <w:t>et al</w:t>
      </w:r>
      <w:r w:rsidR="004A7D73" w:rsidRPr="00E779C9">
        <w:rPr>
          <w:iCs/>
          <w:color w:val="000000"/>
        </w:rPr>
        <w:t xml:space="preserve">. </w:t>
      </w:r>
      <w:r w:rsidR="0073481B">
        <w:rPr>
          <w:iCs/>
          <w:color w:val="000000"/>
        </w:rPr>
        <w:t>(</w:t>
      </w:r>
      <w:r w:rsidR="004A7D73" w:rsidRPr="00E779C9">
        <w:rPr>
          <w:iCs/>
          <w:color w:val="000000"/>
        </w:rPr>
        <w:t>2006</w:t>
      </w:r>
      <w:r w:rsidR="0073481B">
        <w:rPr>
          <w:iCs/>
          <w:color w:val="000000"/>
        </w:rPr>
        <w:t>) et</w:t>
      </w:r>
      <w:r w:rsidR="004A7D73" w:rsidRPr="00E779C9">
        <w:rPr>
          <w:iCs/>
          <w:color w:val="000000"/>
        </w:rPr>
        <w:t xml:space="preserve"> </w:t>
      </w:r>
      <w:proofErr w:type="spellStart"/>
      <w:r w:rsidR="004A7D73" w:rsidRPr="00E779C9">
        <w:rPr>
          <w:iCs/>
          <w:color w:val="000000"/>
        </w:rPr>
        <w:t>Holch</w:t>
      </w:r>
      <w:proofErr w:type="spellEnd"/>
      <w:r w:rsidR="004A7D73" w:rsidRPr="00E779C9">
        <w:rPr>
          <w:iCs/>
          <w:color w:val="000000"/>
        </w:rPr>
        <w:t xml:space="preserve"> </w:t>
      </w:r>
      <w:r w:rsidR="004A7D73" w:rsidRPr="0073481B">
        <w:rPr>
          <w:i/>
          <w:iCs/>
          <w:color w:val="000000"/>
        </w:rPr>
        <w:t>et al.</w:t>
      </w:r>
      <w:r w:rsidR="004A7D73" w:rsidRPr="00E779C9">
        <w:rPr>
          <w:iCs/>
          <w:color w:val="000000"/>
        </w:rPr>
        <w:t xml:space="preserve"> </w:t>
      </w:r>
      <w:r w:rsidR="0073481B">
        <w:rPr>
          <w:iCs/>
          <w:color w:val="000000"/>
        </w:rPr>
        <w:t>(</w:t>
      </w:r>
      <w:r w:rsidR="004A7D73" w:rsidRPr="00E779C9">
        <w:rPr>
          <w:iCs/>
          <w:color w:val="000000"/>
        </w:rPr>
        <w:t>2013)</w:t>
      </w:r>
      <w:r w:rsidR="004A7D73">
        <w:rPr>
          <w:iCs/>
          <w:color w:val="000000"/>
        </w:rPr>
        <w:t xml:space="preserve"> qui ont mis en évidence la </w:t>
      </w:r>
      <w:r w:rsidR="00742BD8">
        <w:rPr>
          <w:iCs/>
          <w:color w:val="000000"/>
        </w:rPr>
        <w:t>prépondérance</w:t>
      </w:r>
      <w:r w:rsidR="004A7D73">
        <w:rPr>
          <w:iCs/>
          <w:color w:val="000000"/>
        </w:rPr>
        <w:t xml:space="preserve"> du CC121 dans le </w:t>
      </w:r>
      <w:r w:rsidR="004A7D73" w:rsidRPr="00E779C9">
        <w:rPr>
          <w:iCs/>
          <w:color w:val="000000"/>
        </w:rPr>
        <w:t>secteur de la product</w:t>
      </w:r>
      <w:r w:rsidR="0073481B">
        <w:rPr>
          <w:iCs/>
          <w:color w:val="000000"/>
        </w:rPr>
        <w:t xml:space="preserve">ion de poisson fumé au Danemark mais il est également </w:t>
      </w:r>
      <w:r w:rsidR="00E779C9" w:rsidRPr="00E779C9">
        <w:rPr>
          <w:iCs/>
          <w:color w:val="000000"/>
        </w:rPr>
        <w:t xml:space="preserve">répandu dans </w:t>
      </w:r>
      <w:r w:rsidR="0073481B">
        <w:rPr>
          <w:iCs/>
          <w:color w:val="000000"/>
        </w:rPr>
        <w:t>les</w:t>
      </w:r>
      <w:r w:rsidR="004A7D73">
        <w:rPr>
          <w:iCs/>
          <w:color w:val="000000"/>
        </w:rPr>
        <w:t xml:space="preserve"> filière</w:t>
      </w:r>
      <w:r w:rsidR="0073481B">
        <w:rPr>
          <w:iCs/>
          <w:color w:val="000000"/>
        </w:rPr>
        <w:t>s</w:t>
      </w:r>
      <w:r w:rsidR="004A7D73">
        <w:rPr>
          <w:iCs/>
          <w:color w:val="000000"/>
        </w:rPr>
        <w:t xml:space="preserve"> </w:t>
      </w:r>
      <w:r w:rsidR="00E779C9" w:rsidRPr="00E779C9">
        <w:rPr>
          <w:iCs/>
          <w:color w:val="000000"/>
        </w:rPr>
        <w:t>des produits de la pêche</w:t>
      </w:r>
      <w:r w:rsidR="004A7D73">
        <w:rPr>
          <w:iCs/>
          <w:color w:val="000000"/>
        </w:rPr>
        <w:t xml:space="preserve"> mais également </w:t>
      </w:r>
      <w:r w:rsidR="00E779C9" w:rsidRPr="00E779C9">
        <w:rPr>
          <w:iCs/>
          <w:color w:val="000000"/>
        </w:rPr>
        <w:t>du porc et d</w:t>
      </w:r>
      <w:r w:rsidR="004A7D73">
        <w:rPr>
          <w:iCs/>
          <w:color w:val="000000"/>
        </w:rPr>
        <w:t>’autre</w:t>
      </w:r>
      <w:r w:rsidR="0073481B">
        <w:rPr>
          <w:iCs/>
          <w:color w:val="000000"/>
        </w:rPr>
        <w:t>s</w:t>
      </w:r>
      <w:r w:rsidR="004A7D73">
        <w:rPr>
          <w:iCs/>
          <w:color w:val="000000"/>
        </w:rPr>
        <w:t xml:space="preserve"> industrie</w:t>
      </w:r>
      <w:r w:rsidR="0073481B">
        <w:rPr>
          <w:iCs/>
          <w:color w:val="000000"/>
        </w:rPr>
        <w:t>s</w:t>
      </w:r>
      <w:r w:rsidR="004A7D73">
        <w:rPr>
          <w:iCs/>
          <w:color w:val="000000"/>
        </w:rPr>
        <w:t xml:space="preserve"> carné</w:t>
      </w:r>
      <w:r w:rsidR="0073481B">
        <w:rPr>
          <w:iCs/>
          <w:color w:val="000000"/>
        </w:rPr>
        <w:t xml:space="preserve">s </w:t>
      </w:r>
      <w:r w:rsidR="0073481B">
        <w:rPr>
          <w:iCs/>
          <w:color w:val="000000"/>
        </w:rPr>
        <w:fldChar w:fldCharType="begin"/>
      </w:r>
      <w:r w:rsidR="0073481B">
        <w:rPr>
          <w:iCs/>
          <w:color w:val="000000"/>
        </w:rPr>
        <w:instrText xml:space="preserve"> ADDIN EN.CITE &lt;EndNote&gt;&lt;Cite&gt;&lt;Author&gt;Félix&lt;/Author&gt;&lt;Year&gt;2018&lt;/Year&gt;&lt;RecNum&gt;1260&lt;/RecNum&gt;&lt;DisplayText&gt;(Félix&lt;style face="italic"&gt; et al.&lt;/style&gt;, 2018)&lt;/DisplayText&gt;&lt;record&gt;&lt;rec-number&gt;1260&lt;/rec-number&gt;&lt;foreign-keys&gt;&lt;key app="EN" db-id="xrawss2d999aevez25svdvwj909sxsvw00x2" timestamp="1619187176"&gt;1260&lt;/key&gt;&lt;/foreign-keys&gt;&lt;ref-type name="Journal Article"&gt;17&lt;/ref-type&gt;&lt;contributors&gt;&lt;authors&gt;&lt;author&gt;Félix, Benjamin&lt;/author&gt;&lt;author&gt;Feurer, Carole&lt;/author&gt;&lt;author&gt;Maillet, Aurelien&lt;/author&gt;&lt;author&gt;Guillier, Laurent&lt;/author&gt;&lt;author&gt;Boscher, Evelyne&lt;/author&gt;&lt;author&gt;Kerouanton, Annaëlle&lt;/author&gt;&lt;author&gt;Denis, Martine&lt;/author&gt;&lt;author&gt;Roussel, Sophie&lt;/author&gt;&lt;/authors&gt;&lt;/contributors&gt;&lt;titles&gt;&lt;title&gt;Population genetic structure of Listeria monocytogenes strains isolated from the pig and pork production chain in France&lt;/title&gt;&lt;secondary-title&gt;Frontiers in microbiology&lt;/secondary-title&gt;&lt;/titles&gt;&lt;periodical&gt;&lt;full-title&gt;Front Microbiol&lt;/full-title&gt;&lt;abbr-1&gt;Frontiers in microbiology&lt;/abbr-1&gt;&lt;/periodical&gt;&lt;pages&gt;684&lt;/pages&gt;&lt;volume&gt;9&lt;/volume&gt;&lt;dates&gt;&lt;year&gt;2018&lt;/year&gt;&lt;/dates&gt;&lt;isbn&gt;1664-302X&lt;/isbn&gt;&lt;urls&gt;&lt;/urls&gt;&lt;/record&gt;&lt;/Cite&gt;&lt;/EndNote&gt;</w:instrText>
      </w:r>
      <w:r w:rsidR="0073481B">
        <w:rPr>
          <w:iCs/>
          <w:color w:val="000000"/>
        </w:rPr>
        <w:fldChar w:fldCharType="separate"/>
      </w:r>
      <w:r w:rsidR="0073481B">
        <w:rPr>
          <w:iCs/>
          <w:noProof/>
          <w:color w:val="000000"/>
        </w:rPr>
        <w:t>(Félix</w:t>
      </w:r>
      <w:r w:rsidR="0073481B" w:rsidRPr="004A7D73">
        <w:rPr>
          <w:i/>
          <w:iCs/>
          <w:noProof/>
          <w:color w:val="000000"/>
        </w:rPr>
        <w:t xml:space="preserve"> et al.</w:t>
      </w:r>
      <w:r w:rsidR="0073481B">
        <w:rPr>
          <w:iCs/>
          <w:noProof/>
          <w:color w:val="000000"/>
        </w:rPr>
        <w:t>, 2018)</w:t>
      </w:r>
      <w:r w:rsidR="0073481B">
        <w:rPr>
          <w:iCs/>
          <w:color w:val="000000"/>
        </w:rPr>
        <w:fldChar w:fldCharType="end"/>
      </w:r>
      <w:r w:rsidR="00E779C9" w:rsidRPr="00E779C9">
        <w:rPr>
          <w:iCs/>
          <w:color w:val="000000"/>
        </w:rPr>
        <w:t xml:space="preserve">. </w:t>
      </w:r>
      <w:r w:rsidR="007A4084">
        <w:rPr>
          <w:iCs/>
          <w:color w:val="000000"/>
        </w:rPr>
        <w:t xml:space="preserve">Cette occurrence alimentaire du CC121 a été confirmé par divers auteurs comme </w:t>
      </w:r>
      <w:r w:rsidR="007A4084">
        <w:rPr>
          <w:iCs/>
          <w:color w:val="000000"/>
        </w:rPr>
        <w:fldChar w:fldCharType="begin"/>
      </w:r>
      <w:r w:rsidR="007A4084">
        <w:rPr>
          <w:iCs/>
          <w:color w:val="000000"/>
        </w:rPr>
        <w:instrText xml:space="preserve"> ADDIN EN.CITE &lt;EndNote&gt;&lt;Cite&gt;&lt;Author&gt;Maury&lt;/Author&gt;&lt;Year&gt;2016&lt;/Year&gt;&lt;RecNum&gt;1263&lt;/RecNum&gt;&lt;DisplayText&gt;(Maury&lt;style face="italic"&gt; et al.&lt;/style&gt;, 2016)&lt;/DisplayText&gt;&lt;record&gt;&lt;rec-number&gt;1263&lt;/rec-number&gt;&lt;foreign-keys&gt;&lt;key app="EN" db-id="xrawss2d999aevez25svdvwj909sxsvw00x2" timestamp="1619586147"&gt;1263&lt;/key&gt;&lt;/foreign-keys&gt;&lt;ref-type name="Journal Article"&gt;17&lt;/ref-type&gt;&lt;contributors&gt;&lt;authors&gt;&lt;author&gt;Maury, Mylène M&lt;/author&gt;&lt;author&gt;Tsai, Yu-Huan&lt;/author&gt;&lt;author&gt;Charlier, Caroline&lt;/author&gt;&lt;author&gt;Touchon, Marie&lt;/author&gt;&lt;author&gt;Chenal-Francisque, Viviane&lt;/author&gt;&lt;author&gt;Leclercq, Alexandre&lt;/author&gt;&lt;author&gt;Criscuolo, Alexis&lt;/author&gt;&lt;author&gt;Gaultier, Charlotte&lt;/author&gt;&lt;author&gt;Roussel, Sophie&lt;/author&gt;&lt;author&gt;Brisabois, Anne&lt;/author&gt;&lt;/authors&gt;&lt;/contributors&gt;&lt;titles&gt;&lt;title&gt;Uncovering Listeria monocytogenes hypervirulence by harnessing its biodiversity&lt;/title&gt;&lt;secondary-title&gt;Nature genetics&lt;/secondary-title&gt;&lt;/titles&gt;&lt;periodical&gt;&lt;full-title&gt;Nature genetics&lt;/full-title&gt;&lt;/periodical&gt;&lt;pages&gt;308&lt;/pages&gt;&lt;volume&gt;48&lt;/volume&gt;&lt;number&gt;3&lt;/number&gt;&lt;dates&gt;&lt;year&gt;2016&lt;/year&gt;&lt;/dates&gt;&lt;isbn&gt;1546-1718&lt;/isbn&gt;&lt;urls&gt;&lt;/urls&gt;&lt;/record&gt;&lt;/Cite&gt;&lt;/EndNote&gt;</w:instrText>
      </w:r>
      <w:r w:rsidR="007A4084">
        <w:rPr>
          <w:iCs/>
          <w:color w:val="000000"/>
        </w:rPr>
        <w:fldChar w:fldCharType="separate"/>
      </w:r>
      <w:r w:rsidR="007A4084">
        <w:rPr>
          <w:iCs/>
          <w:noProof/>
          <w:color w:val="000000"/>
        </w:rPr>
        <w:t>Maury</w:t>
      </w:r>
      <w:r w:rsidR="007A4084" w:rsidRPr="00E779C9">
        <w:rPr>
          <w:i/>
          <w:iCs/>
          <w:noProof/>
          <w:color w:val="000000"/>
        </w:rPr>
        <w:t xml:space="preserve"> et al.</w:t>
      </w:r>
      <w:r w:rsidR="0073481B">
        <w:rPr>
          <w:iCs/>
          <w:noProof/>
          <w:color w:val="000000"/>
        </w:rPr>
        <w:t xml:space="preserve"> (</w:t>
      </w:r>
      <w:r w:rsidR="007A4084">
        <w:rPr>
          <w:iCs/>
          <w:noProof/>
          <w:color w:val="000000"/>
        </w:rPr>
        <w:t>2016)</w:t>
      </w:r>
      <w:r w:rsidR="007A4084">
        <w:rPr>
          <w:iCs/>
          <w:color w:val="000000"/>
        </w:rPr>
        <w:fldChar w:fldCharType="end"/>
      </w:r>
      <w:r w:rsidR="007A4084">
        <w:rPr>
          <w:iCs/>
          <w:color w:val="000000"/>
        </w:rPr>
        <w:t xml:space="preserve"> qui </w:t>
      </w:r>
      <w:r w:rsidR="004A7D73" w:rsidRPr="00E779C9">
        <w:rPr>
          <w:iCs/>
          <w:color w:val="000000"/>
        </w:rPr>
        <w:t xml:space="preserve">a montré une prévalence de 17,6% </w:t>
      </w:r>
      <w:r w:rsidR="007A4084">
        <w:rPr>
          <w:iCs/>
          <w:color w:val="000000"/>
        </w:rPr>
        <w:t xml:space="preserve">du CC121 </w:t>
      </w:r>
      <w:r w:rsidR="004A7D73" w:rsidRPr="00E779C9">
        <w:rPr>
          <w:iCs/>
          <w:color w:val="000000"/>
        </w:rPr>
        <w:t xml:space="preserve">sur 6633 isolats de </w:t>
      </w:r>
      <w:r w:rsidR="004A7D73" w:rsidRPr="00E779C9">
        <w:rPr>
          <w:i/>
          <w:iCs/>
          <w:color w:val="000000"/>
        </w:rPr>
        <w:t xml:space="preserve">L. </w:t>
      </w:r>
      <w:proofErr w:type="spellStart"/>
      <w:r w:rsidR="004A7D73" w:rsidRPr="00E779C9">
        <w:rPr>
          <w:i/>
          <w:iCs/>
          <w:color w:val="000000"/>
        </w:rPr>
        <w:t>monocytogenes</w:t>
      </w:r>
      <w:proofErr w:type="spellEnd"/>
      <w:r w:rsidR="004A7D73" w:rsidRPr="00E779C9">
        <w:rPr>
          <w:iCs/>
          <w:color w:val="000000"/>
        </w:rPr>
        <w:t xml:space="preserve"> collectés sur neuf ans, à partir de sources</w:t>
      </w:r>
      <w:r w:rsidR="004A7D73">
        <w:rPr>
          <w:iCs/>
          <w:color w:val="000000"/>
        </w:rPr>
        <w:t xml:space="preserve"> </w:t>
      </w:r>
      <w:r w:rsidR="004A7D73" w:rsidRPr="00E779C9">
        <w:rPr>
          <w:iCs/>
          <w:color w:val="000000"/>
        </w:rPr>
        <w:t xml:space="preserve">alimentaires et cliniques, avec une </w:t>
      </w:r>
      <w:proofErr w:type="spellStart"/>
      <w:r w:rsidR="004A7D73" w:rsidRPr="00E779C9">
        <w:rPr>
          <w:iCs/>
          <w:color w:val="000000"/>
        </w:rPr>
        <w:t>sur</w:t>
      </w:r>
      <w:r w:rsidR="0073481B">
        <w:rPr>
          <w:iCs/>
          <w:color w:val="000000"/>
        </w:rPr>
        <w:t>-</w:t>
      </w:r>
      <w:r w:rsidR="004A7D73" w:rsidRPr="00E779C9">
        <w:rPr>
          <w:iCs/>
          <w:color w:val="000000"/>
        </w:rPr>
        <w:t>représentation</w:t>
      </w:r>
      <w:proofErr w:type="spellEnd"/>
      <w:r w:rsidR="004A7D73" w:rsidRPr="00E779C9">
        <w:rPr>
          <w:iCs/>
          <w:color w:val="000000"/>
        </w:rPr>
        <w:t xml:space="preserve"> statistiquement significative dans les sources alimentaires par rapport aux sources cliniques (92,9% vs 7,0%)</w:t>
      </w:r>
      <w:r w:rsidR="004A7D73">
        <w:rPr>
          <w:iCs/>
          <w:color w:val="000000"/>
        </w:rPr>
        <w:t xml:space="preserve">. </w:t>
      </w:r>
      <w:r w:rsidR="00E779C9" w:rsidRPr="00E779C9">
        <w:rPr>
          <w:iCs/>
          <w:color w:val="000000"/>
        </w:rPr>
        <w:t>Deux autres études menées à l'échelle nationale sur la c</w:t>
      </w:r>
      <w:r w:rsidR="00533749">
        <w:rPr>
          <w:iCs/>
          <w:color w:val="000000"/>
        </w:rPr>
        <w:t>haîne de production alimentaire</w:t>
      </w:r>
      <w:r w:rsidR="00E779C9" w:rsidRPr="00E779C9">
        <w:rPr>
          <w:iCs/>
          <w:color w:val="000000"/>
        </w:rPr>
        <w:t xml:space="preserve"> </w:t>
      </w:r>
      <w:r w:rsidR="00533749">
        <w:rPr>
          <w:iCs/>
          <w:color w:val="000000"/>
        </w:rPr>
        <w:t>(comprenant</w:t>
      </w:r>
      <w:r w:rsidR="00E779C9" w:rsidRPr="00E779C9">
        <w:rPr>
          <w:iCs/>
          <w:color w:val="000000"/>
        </w:rPr>
        <w:t xml:space="preserve"> la production de lait et de viande</w:t>
      </w:r>
      <w:r w:rsidR="00533749">
        <w:rPr>
          <w:iCs/>
          <w:color w:val="000000"/>
        </w:rPr>
        <w:t>)</w:t>
      </w:r>
      <w:r w:rsidR="00E779C9" w:rsidRPr="00E779C9">
        <w:rPr>
          <w:iCs/>
          <w:color w:val="000000"/>
        </w:rPr>
        <w:t xml:space="preserve"> ont rapporté </w:t>
      </w:r>
      <w:r w:rsidR="00533749">
        <w:rPr>
          <w:iCs/>
          <w:color w:val="000000"/>
        </w:rPr>
        <w:t xml:space="preserve">que </w:t>
      </w:r>
      <w:r w:rsidR="00E779C9" w:rsidRPr="00E779C9">
        <w:rPr>
          <w:iCs/>
          <w:color w:val="000000"/>
        </w:rPr>
        <w:t>des souches CC121 provena</w:t>
      </w:r>
      <w:r w:rsidR="007A4084">
        <w:rPr>
          <w:iCs/>
          <w:color w:val="000000"/>
        </w:rPr>
        <w:t>ient</w:t>
      </w:r>
      <w:r w:rsidR="00E779C9" w:rsidRPr="00E779C9">
        <w:rPr>
          <w:iCs/>
          <w:color w:val="000000"/>
        </w:rPr>
        <w:t xml:space="preserve"> principalement d</w:t>
      </w:r>
      <w:r w:rsidR="00533749">
        <w:rPr>
          <w:iCs/>
          <w:color w:val="000000"/>
        </w:rPr>
        <w:t>e l’</w:t>
      </w:r>
      <w:r w:rsidR="00E779C9" w:rsidRPr="00E779C9">
        <w:rPr>
          <w:iCs/>
          <w:color w:val="000000"/>
        </w:rPr>
        <w:t>environnement</w:t>
      </w:r>
      <w:r w:rsidR="00533749">
        <w:rPr>
          <w:iCs/>
          <w:color w:val="000000"/>
        </w:rPr>
        <w:t xml:space="preserve"> dans la filière des </w:t>
      </w:r>
      <w:r w:rsidR="007A4084">
        <w:rPr>
          <w:iCs/>
          <w:color w:val="000000"/>
        </w:rPr>
        <w:t>produit</w:t>
      </w:r>
      <w:r w:rsidR="00533749">
        <w:rPr>
          <w:iCs/>
          <w:color w:val="000000"/>
        </w:rPr>
        <w:t>s</w:t>
      </w:r>
      <w:r w:rsidR="007A4084">
        <w:rPr>
          <w:iCs/>
          <w:color w:val="000000"/>
        </w:rPr>
        <w:t xml:space="preserve"> carné</w:t>
      </w:r>
      <w:r w:rsidR="00533749">
        <w:rPr>
          <w:iCs/>
          <w:color w:val="000000"/>
        </w:rPr>
        <w:t>s</w:t>
      </w:r>
      <w:r w:rsidR="0073481B">
        <w:rPr>
          <w:iCs/>
          <w:color w:val="000000"/>
        </w:rPr>
        <w:t xml:space="preserve"> </w:t>
      </w:r>
      <w:r w:rsidR="0073481B">
        <w:rPr>
          <w:iCs/>
          <w:color w:val="000000"/>
        </w:rPr>
        <w:fldChar w:fldCharType="begin">
          <w:fldData xml:space="preserve">PEVuZE5vdGU+PENpdGU+PEF1dGhvcj5MZW9uZzwvQXV0aG9yPjxZZWFyPjIwMTc8L1llYXI+PFJl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</w:fldData>
        </w:fldChar>
      </w:r>
      <w:r w:rsidR="0073481B">
        <w:rPr>
          <w:iCs/>
          <w:color w:val="000000"/>
        </w:rPr>
        <w:instrText xml:space="preserve"> ADDIN EN.CITE </w:instrText>
      </w:r>
      <w:r w:rsidR="0073481B">
        <w:rPr>
          <w:iCs/>
          <w:color w:val="000000"/>
        </w:rPr>
        <w:fldChar w:fldCharType="begin">
          <w:fldData xml:space="preserve">PEVuZE5vdGU+PENpdGU+PEF1dGhvcj5MZW9uZzwvQXV0aG9yPjxZZWFyPjIwMTc8L1llYXI+PFJl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</w:fldData>
        </w:fldChar>
      </w:r>
      <w:r w:rsidR="0073481B">
        <w:rPr>
          <w:iCs/>
          <w:color w:val="000000"/>
        </w:rPr>
        <w:instrText xml:space="preserve"> ADDIN EN.CITE.DATA </w:instrText>
      </w:r>
      <w:r w:rsidR="0073481B">
        <w:rPr>
          <w:iCs/>
          <w:color w:val="000000"/>
        </w:rPr>
      </w:r>
      <w:r w:rsidR="0073481B">
        <w:rPr>
          <w:iCs/>
          <w:color w:val="000000"/>
        </w:rPr>
        <w:fldChar w:fldCharType="end"/>
      </w:r>
      <w:r w:rsidR="0073481B">
        <w:rPr>
          <w:iCs/>
          <w:color w:val="000000"/>
        </w:rPr>
      </w:r>
      <w:r w:rsidR="0073481B">
        <w:rPr>
          <w:iCs/>
          <w:color w:val="000000"/>
        </w:rPr>
        <w:fldChar w:fldCharType="separate"/>
      </w:r>
      <w:r w:rsidR="0073481B">
        <w:rPr>
          <w:iCs/>
          <w:noProof/>
          <w:color w:val="000000"/>
        </w:rPr>
        <w:t>(Ebner</w:t>
      </w:r>
      <w:r w:rsidR="0073481B" w:rsidRPr="004D4E14">
        <w:rPr>
          <w:i/>
          <w:iCs/>
          <w:noProof/>
          <w:color w:val="000000"/>
        </w:rPr>
        <w:t xml:space="preserve"> et al.</w:t>
      </w:r>
      <w:r w:rsidR="0073481B">
        <w:rPr>
          <w:iCs/>
          <w:noProof/>
          <w:color w:val="000000"/>
        </w:rPr>
        <w:t>, 2015, Leong</w:t>
      </w:r>
      <w:r w:rsidR="0073481B" w:rsidRPr="004D4E14">
        <w:rPr>
          <w:i/>
          <w:iCs/>
          <w:noProof/>
          <w:color w:val="000000"/>
        </w:rPr>
        <w:t xml:space="preserve"> et al.</w:t>
      </w:r>
      <w:r w:rsidR="0073481B">
        <w:rPr>
          <w:iCs/>
          <w:noProof/>
          <w:color w:val="000000"/>
        </w:rPr>
        <w:t>, 2017)</w:t>
      </w:r>
      <w:r w:rsidR="0073481B">
        <w:rPr>
          <w:iCs/>
          <w:color w:val="000000"/>
        </w:rPr>
        <w:fldChar w:fldCharType="end"/>
      </w:r>
      <w:r w:rsidR="00E779C9" w:rsidRPr="00E779C9">
        <w:rPr>
          <w:iCs/>
          <w:color w:val="000000"/>
        </w:rPr>
        <w:t>. Une étude</w:t>
      </w:r>
      <w:r w:rsidR="00533749">
        <w:rPr>
          <w:iCs/>
          <w:color w:val="000000"/>
        </w:rPr>
        <w:t>,</w:t>
      </w:r>
      <w:r w:rsidR="00E779C9" w:rsidRPr="00E779C9">
        <w:rPr>
          <w:iCs/>
          <w:color w:val="000000"/>
        </w:rPr>
        <w:t xml:space="preserve"> incluant des produits prêt à consommer à base de poisson, de viande et de lait à travers l'Europe</w:t>
      </w:r>
      <w:r w:rsidR="00533749">
        <w:rPr>
          <w:iCs/>
          <w:color w:val="000000"/>
        </w:rPr>
        <w:t>,</w:t>
      </w:r>
      <w:r w:rsidR="004D4E14">
        <w:rPr>
          <w:iCs/>
          <w:color w:val="000000"/>
        </w:rPr>
        <w:t xml:space="preserve"> </w:t>
      </w:r>
      <w:r w:rsidR="00E779C9" w:rsidRPr="00E779C9">
        <w:rPr>
          <w:iCs/>
          <w:color w:val="000000"/>
        </w:rPr>
        <w:t xml:space="preserve">a rapporté une </w:t>
      </w:r>
      <w:r w:rsidR="00E779C9" w:rsidRPr="009C55ED">
        <w:rPr>
          <w:iCs/>
          <w:color w:val="000000"/>
        </w:rPr>
        <w:t>prévalence élevée de CC121 dans les produits prêts à consommer à base de poisson et de viande</w:t>
      </w:r>
      <w:r w:rsidR="00533749">
        <w:rPr>
          <w:iCs/>
          <w:color w:val="000000"/>
        </w:rPr>
        <w:t xml:space="preserve"> </w:t>
      </w:r>
      <w:r w:rsidR="00533749">
        <w:rPr>
          <w:iCs/>
          <w:color w:val="000000"/>
        </w:rPr>
        <w:fldChar w:fldCharType="begin"/>
      </w:r>
      <w:r w:rsidR="00533749">
        <w:rPr>
          <w:iCs/>
          <w:color w:val="000000"/>
        </w:rPr>
        <w:instrText xml:space="preserve"> ADDIN EN.CITE &lt;EndNote&gt;&lt;Cite&gt;&lt;Author&gt;Nielsen&lt;/Author&gt;&lt;Year&gt;2017&lt;/Year&gt;&lt;RecNum&gt;1268&lt;/RecNum&gt;&lt;DisplayText&gt;(Nielsen&lt;style face="italic"&gt; et al.&lt;/style&gt;, 2017)&lt;/DisplayText&gt;&lt;record&gt;&lt;rec-number&gt;1268&lt;/rec-number&gt;&lt;foreign-keys&gt;&lt;key app="EN" db-id="xrawss2d999aevez25svdvwj909sxsvw00x2" timestamp="1619671616"&gt;1268&lt;/key&gt;&lt;/foreign-keys&gt;&lt;ref-type name="Journal Article"&gt;17&lt;/ref-type&gt;&lt;contributors&gt;&lt;authors&gt;&lt;author&gt;Nielsen, Eva Møller&lt;/author&gt;&lt;author&gt;Björkman, Jonas T&lt;/author&gt;&lt;author&gt;Kiil, Kristoffer&lt;/author&gt;&lt;author&gt;Grant, Kathie&lt;/author&gt;&lt;author&gt;Dallman, Tim&lt;/author&gt;&lt;author&gt;Painset, Anaïs&lt;/author&gt;&lt;author&gt;Amar, Corinne&lt;/author&gt;&lt;author&gt;Roussel, Sophie&lt;/author&gt;&lt;author&gt;Guillier, Laurent&lt;/author&gt;&lt;author&gt;Félix, Benjamin&lt;/author&gt;&lt;/authors&gt;&lt;/contributors&gt;&lt;titles&gt;&lt;title&gt;Closing gaps for performing a risk assessment on Listeria monocytogenes in ready‐to‐eat (RTE) foods: activity 3, the comparison of isolates from different compartments along the food chain, and from humans using whole genome sequencing (WGS) analysis&lt;/title&gt;&lt;secondary-title&gt;EFSA Supporting Publications&lt;/secondary-title&gt;&lt;/titles&gt;&lt;periodical&gt;&lt;full-title&gt;EFSA Supporting Publications&lt;/full-title&gt;&lt;/periodical&gt;&lt;pages&gt;1151E&lt;/pages&gt;&lt;volume&gt;14&lt;/volume&gt;&lt;number&gt;2&lt;/number&gt;&lt;dates&gt;&lt;year&gt;2017&lt;/year&gt;&lt;/dates&gt;&lt;isbn&gt;2397-8325&lt;/isbn&gt;&lt;urls&gt;&lt;/urls&gt;&lt;/record&gt;&lt;/Cite&gt;&lt;/EndNote&gt;</w:instrText>
      </w:r>
      <w:r w:rsidR="00533749">
        <w:rPr>
          <w:iCs/>
          <w:color w:val="000000"/>
        </w:rPr>
        <w:fldChar w:fldCharType="separate"/>
      </w:r>
      <w:r w:rsidR="00533749">
        <w:rPr>
          <w:iCs/>
          <w:noProof/>
          <w:color w:val="000000"/>
        </w:rPr>
        <w:t>(Nielsen</w:t>
      </w:r>
      <w:r w:rsidR="00533749" w:rsidRPr="004D4E14">
        <w:rPr>
          <w:i/>
          <w:iCs/>
          <w:noProof/>
          <w:color w:val="000000"/>
        </w:rPr>
        <w:t xml:space="preserve"> et al.</w:t>
      </w:r>
      <w:r w:rsidR="00533749">
        <w:rPr>
          <w:iCs/>
          <w:noProof/>
          <w:color w:val="000000"/>
        </w:rPr>
        <w:t>, 2017)</w:t>
      </w:r>
      <w:r w:rsidR="00533749">
        <w:rPr>
          <w:iCs/>
          <w:color w:val="000000"/>
        </w:rPr>
        <w:fldChar w:fldCharType="end"/>
      </w:r>
      <w:r w:rsidR="00E779C9" w:rsidRPr="009C55ED">
        <w:rPr>
          <w:iCs/>
          <w:color w:val="000000"/>
        </w:rPr>
        <w:t xml:space="preserve">. </w:t>
      </w:r>
      <w:r>
        <w:rPr>
          <w:iCs/>
          <w:color w:val="000000"/>
        </w:rPr>
        <w:t xml:space="preserve">Il a également été établi </w:t>
      </w:r>
      <w:r w:rsidR="00D04B37">
        <w:rPr>
          <w:iCs/>
          <w:color w:val="000000"/>
        </w:rPr>
        <w:t xml:space="preserve"> dans une étude </w:t>
      </w:r>
      <w:r>
        <w:rPr>
          <w:iCs/>
          <w:color w:val="000000"/>
        </w:rPr>
        <w:t>que les souche</w:t>
      </w:r>
      <w:r w:rsidR="00D04B37">
        <w:rPr>
          <w:iCs/>
          <w:color w:val="000000"/>
        </w:rPr>
        <w:t>s</w:t>
      </w:r>
      <w:r>
        <w:rPr>
          <w:iCs/>
          <w:color w:val="000000"/>
        </w:rPr>
        <w:t xml:space="preserve"> du CC121</w:t>
      </w:r>
      <w:r w:rsidR="00D04B37">
        <w:rPr>
          <w:iCs/>
          <w:color w:val="000000"/>
        </w:rPr>
        <w:t xml:space="preserve"> étudiées</w:t>
      </w:r>
      <w:r>
        <w:rPr>
          <w:iCs/>
          <w:color w:val="000000"/>
        </w:rPr>
        <w:t xml:space="preserve"> étai</w:t>
      </w:r>
      <w:r w:rsidR="00D04B37">
        <w:rPr>
          <w:iCs/>
          <w:color w:val="000000"/>
        </w:rPr>
        <w:t>en</w:t>
      </w:r>
      <w:r>
        <w:rPr>
          <w:iCs/>
          <w:color w:val="000000"/>
        </w:rPr>
        <w:t xml:space="preserve">t </w:t>
      </w:r>
      <w:r w:rsidR="00D04B37">
        <w:rPr>
          <w:iCs/>
          <w:color w:val="000000"/>
        </w:rPr>
        <w:t>en majorité</w:t>
      </w:r>
      <w:r>
        <w:rPr>
          <w:iCs/>
          <w:color w:val="000000"/>
        </w:rPr>
        <w:t xml:space="preserve"> hypo</w:t>
      </w:r>
      <w:r w:rsidR="00D04B37">
        <w:rPr>
          <w:iCs/>
          <w:color w:val="000000"/>
        </w:rPr>
        <w:t>-</w:t>
      </w:r>
      <w:r>
        <w:rPr>
          <w:iCs/>
          <w:color w:val="000000"/>
        </w:rPr>
        <w:t>virulente</w:t>
      </w:r>
      <w:r w:rsidR="00D04B37">
        <w:rPr>
          <w:iCs/>
          <w:color w:val="000000"/>
        </w:rPr>
        <w:t>s</w:t>
      </w:r>
      <w:r>
        <w:rPr>
          <w:iCs/>
          <w:color w:val="000000"/>
        </w:rPr>
        <w:t xml:space="preserve"> </w:t>
      </w:r>
      <w:r>
        <w:rPr>
          <w:iCs/>
          <w:color w:val="000000"/>
        </w:rPr>
        <w:fldChar w:fldCharType="begin"/>
      </w:r>
      <w:r>
        <w:rPr>
          <w:iCs/>
          <w:color w:val="000000"/>
        </w:rPr>
        <w:instrText xml:space="preserve"> ADDIN EN.CITE &lt;EndNote&gt;&lt;Cite&gt;&lt;Author&gt;Maury&lt;/Author&gt;&lt;Year&gt;2016&lt;/Year&gt;&lt;RecNum&gt;1263&lt;/RecNum&gt;&lt;DisplayText&gt;(Maury&lt;style face="italic"&gt; et al.&lt;/style&gt;, 2016)&lt;/DisplayText&gt;&lt;record&gt;&lt;rec-number&gt;1263&lt;/rec-number&gt;&lt;foreign-keys&gt;&lt;key app="EN" db-id="xrawss2d999aevez25svdvwj909sxsvw00x2" timestamp="1619586147"&gt;1263&lt;/key&gt;&lt;/foreign-keys&gt;&lt;ref-type name="Journal Article"&gt;17&lt;/ref-type&gt;&lt;contributors&gt;&lt;authors&gt;&lt;author&gt;Maury, Mylène M&lt;/author&gt;&lt;author&gt;Tsai, Yu-Huan&lt;/author&gt;&lt;author&gt;Charlier, Caroline&lt;/author&gt;&lt;author&gt;Touchon, Marie&lt;/author&gt;&lt;author&gt;Chenal-Francisque, Viviane&lt;/author&gt;&lt;author&gt;Leclercq, Alexandre&lt;/author&gt;&lt;author&gt;Criscuolo, Alexis&lt;/author&gt;&lt;author&gt;Gaultier, Charlotte&lt;/author&gt;&lt;author&gt;Roussel, Sophie&lt;/author&gt;&lt;author&gt;Brisabois, Anne&lt;/author&gt;&lt;/authors&gt;&lt;/contributors&gt;&lt;titles&gt;&lt;title&gt;Uncovering Listeria monocytogenes hypervirulence by harnessing its biodiversity&lt;/title&gt;&lt;secondary-title&gt;Nature genetics&lt;/secondary-title&gt;&lt;/titles&gt;&lt;periodical&gt;&lt;full-title&gt;Nature genetics&lt;/full-title&gt;&lt;/periodical&gt;&lt;pages&gt;308&lt;/pages&gt;&lt;volume&gt;48&lt;/volume&gt;&lt;number&gt;3&lt;/number&gt;&lt;dates&gt;&lt;year&gt;2016&lt;/year&gt;&lt;/dates&gt;&lt;isbn&gt;1546-1718&lt;/isbn&gt;&lt;urls&gt;&lt;/urls&gt;&lt;/record&gt;&lt;/Cite&gt;&lt;/EndNote&gt;</w:instrText>
      </w:r>
      <w:r>
        <w:rPr>
          <w:iCs/>
          <w:color w:val="000000"/>
        </w:rPr>
        <w:fldChar w:fldCharType="separate"/>
      </w:r>
      <w:r>
        <w:rPr>
          <w:iCs/>
          <w:noProof/>
          <w:color w:val="000000"/>
        </w:rPr>
        <w:t>(Maury</w:t>
      </w:r>
      <w:r w:rsidRPr="00B67873">
        <w:rPr>
          <w:i/>
          <w:iCs/>
          <w:noProof/>
          <w:color w:val="000000"/>
        </w:rPr>
        <w:t xml:space="preserve"> et al.</w:t>
      </w:r>
      <w:r>
        <w:rPr>
          <w:iCs/>
          <w:noProof/>
          <w:color w:val="000000"/>
        </w:rPr>
        <w:t>, 2016)</w:t>
      </w:r>
      <w:r>
        <w:rPr>
          <w:iCs/>
          <w:color w:val="000000"/>
        </w:rPr>
        <w:fldChar w:fldCharType="end"/>
      </w:r>
      <w:r w:rsidR="00D04B37">
        <w:rPr>
          <w:iCs/>
          <w:color w:val="000000"/>
        </w:rPr>
        <w:t>.</w:t>
      </w:r>
    </w:p>
    <w:p w14:paraId="4FA113CE" w14:textId="0B728248" w:rsidR="00612903" w:rsidRDefault="00612903" w:rsidP="00612903">
      <w:pPr>
        <w:ind w:firstLine="708"/>
      </w:pPr>
      <w:r>
        <w:rPr>
          <w:iCs/>
          <w:color w:val="000000"/>
        </w:rPr>
        <w:t xml:space="preserve">Concernant le CC26 (155 souches), peu d’étude parle de l’occurrence de </w:t>
      </w:r>
      <w:r w:rsidR="00D04B37">
        <w:rPr>
          <w:iCs/>
          <w:color w:val="000000"/>
        </w:rPr>
        <w:t>celui-ci</w:t>
      </w:r>
      <w:r>
        <w:rPr>
          <w:iCs/>
          <w:color w:val="000000"/>
        </w:rPr>
        <w:t xml:space="preserve">. </w:t>
      </w:r>
      <w:r w:rsidR="00D04B37">
        <w:rPr>
          <w:iCs/>
          <w:color w:val="000000"/>
        </w:rPr>
        <w:t>En 2018, dans l</w:t>
      </w:r>
      <w:r>
        <w:rPr>
          <w:iCs/>
          <w:color w:val="000000"/>
        </w:rPr>
        <w:t>e rapport d’activité d</w:t>
      </w:r>
      <w:r w:rsidR="00742BD8">
        <w:rPr>
          <w:iCs/>
          <w:color w:val="000000"/>
        </w:rPr>
        <w:t xml:space="preserve">u centre national de référence (CNR) </w:t>
      </w:r>
      <w:r w:rsidR="00D04B37">
        <w:rPr>
          <w:iCs/>
          <w:color w:val="000000"/>
        </w:rPr>
        <w:t>de</w:t>
      </w:r>
      <w:r w:rsidR="00742BD8">
        <w:rPr>
          <w:iCs/>
          <w:color w:val="000000"/>
        </w:rPr>
        <w:t xml:space="preserve"> l’institut</w:t>
      </w:r>
      <w:r>
        <w:rPr>
          <w:iCs/>
          <w:color w:val="000000"/>
        </w:rPr>
        <w:t xml:space="preserve"> Pasteur</w:t>
      </w:r>
      <w:r w:rsidR="00D04B37">
        <w:rPr>
          <w:iCs/>
          <w:color w:val="000000"/>
        </w:rPr>
        <w:t>, il a été indiqué que</w:t>
      </w:r>
      <w:r>
        <w:rPr>
          <w:iCs/>
          <w:color w:val="000000"/>
        </w:rPr>
        <w:t xml:space="preserve"> </w:t>
      </w:r>
      <w:r w:rsidRPr="009C55ED">
        <w:t xml:space="preserve">le </w:t>
      </w:r>
      <w:r>
        <w:t>CC26</w:t>
      </w:r>
      <w:r w:rsidRPr="009C55ED">
        <w:t xml:space="preserve"> </w:t>
      </w:r>
      <w:r w:rsidR="00D04B37">
        <w:lastRenderedPageBreak/>
        <w:t>était</w:t>
      </w:r>
      <w:r>
        <w:t xml:space="preserve"> le </w:t>
      </w:r>
      <w:r w:rsidR="005C27D8">
        <w:t>troisième</w:t>
      </w:r>
      <w:r>
        <w:t xml:space="preserve"> CC le </w:t>
      </w:r>
      <w:r w:rsidRPr="009C55ED">
        <w:t xml:space="preserve">plus fréquent à l’origine d’alertes-produits en France </w:t>
      </w:r>
      <w:r w:rsidR="009C55ED">
        <w:fldChar w:fldCharType="begin"/>
      </w:r>
      <w:r w:rsidR="009C55ED">
        <w:instrText xml:space="preserve"> ADDIN EN.CITE &lt;EndNote&gt;&lt;Cite&gt;&lt;Author&gt;Pasteur&lt;/Author&gt;&lt;Year&gt;2018&lt;/Year&gt;&lt;RecNum&gt;1270&lt;/RecNum&gt;&lt;DisplayText&gt;(Pasteur, 2018)&lt;/DisplayText&gt;&lt;record&gt;&lt;rec-number&gt;1270&lt;/rec-number&gt;&lt;foreign-keys&gt;&lt;key app="EN" db-id="xrawss2d999aevez25svdvwj909sxsvw00x2" timestamp="1619772072"&gt;1270&lt;/key&gt;&lt;/foreign-keys&gt;&lt;ref-type name="Web Page"&gt;12&lt;/ref-type&gt;&lt;contributors&gt;&lt;authors&gt;&lt;author&gt;Institut Pasteur&lt;/author&gt;&lt;/authors&gt;&lt;/contributors&gt;&lt;titles&gt;&lt;title&gt;Rapports d&amp;apos;activité du CNR des Listeria&lt;/title&gt;&lt;/titles&gt;&lt;dates&gt;&lt;year&gt;2018&lt;/year&gt;&lt;/dates&gt;&lt;urls&gt;&lt;related-urls&gt;&lt;url&gt;https://www.pasteur.fr/fr/sante-publique/CNR/les-cnr/listeria/rapports-d-activite&lt;/url&gt;&lt;/related-urls&gt;&lt;/urls&gt;&lt;/record&gt;&lt;/Cite&gt;&lt;/EndNote&gt;</w:instrText>
      </w:r>
      <w:r w:rsidR="009C55ED">
        <w:fldChar w:fldCharType="separate"/>
      </w:r>
      <w:r w:rsidR="009C55ED">
        <w:rPr>
          <w:noProof/>
        </w:rPr>
        <w:t>(Pasteur, 2018)</w:t>
      </w:r>
      <w:r w:rsidR="009C55ED">
        <w:fldChar w:fldCharType="end"/>
      </w:r>
      <w:r>
        <w:t xml:space="preserve">. </w:t>
      </w:r>
      <w:r>
        <w:fldChar w:fldCharType="begin"/>
      </w:r>
      <w:r>
        <w:instrText xml:space="preserve"> ADDIN EN.CITE &lt;EndNote&gt;&lt;Cite AuthorYear="1"&gt;&lt;Author&gt;Lee&lt;/Author&gt;&lt;Year&gt;2019&lt;/Year&gt;&lt;RecNum&gt;1210&lt;/RecNum&gt;&lt;DisplayText&gt;Lee&lt;style face="italic"&gt; et al.&lt;/style&gt; (2019)&lt;/DisplayText&gt;&lt;record&gt;&lt;rec-number&gt;1210&lt;/rec-number&gt;&lt;foreign-keys&gt;&lt;key app="EN" db-id="xrawss2d999aevez25svdvwj909sxsvw00x2" timestamp="1585642731"&gt;1210&lt;/key&gt;&lt;/foreign-keys&gt;&lt;ref-type name="Journal Article"&gt;17&lt;/ref-type&gt;&lt;contributors&gt;&lt;authors&gt;&lt;author&gt;Lee,Bo-Hyung&lt;/author&gt;&lt;author&gt;Cole,Sophie&lt;/author&gt;&lt;author&gt;Badel-Berchoux,Stéphanie&lt;/author&gt;&lt;author&gt;Guillier,Laurent&lt;/author&gt;&lt;author&gt;Felix,Benjamin&lt;/author&gt;&lt;author&gt;Krezdorn,Nicolas&lt;/author&gt;&lt;author&gt;Hébraud,Michel&lt;/author&gt;&lt;author&gt;Bernardi,Thierry&lt;/author&gt;&lt;author&gt;Sultan,Ibrahim&lt;/author&gt;&lt;author&gt;Piveteau,Pascal&lt;/author&gt;&lt;/authors&gt;&lt;/contributors&gt;&lt;titles&gt;&lt;title&gt;Biofilm Formation of Listeria monocytogenes Strains Under Food Processing Environments and Pan-Genome-Wide Association Study&lt;/title&gt;&lt;secondary-title&gt;Frontiers in Microbiology&lt;/secondary-title&gt;&lt;short-title&gt;Biofilm formation in Listeria monocytogenes&lt;/short-title&gt;&lt;/titles&gt;&lt;periodical&gt;&lt;full-title&gt;Front Microbiol&lt;/full-title&gt;&lt;abbr-1&gt;Frontiers in microbiology&lt;/abbr-1&gt;&lt;/periodical&gt;&lt;volume&gt;10&lt;/volume&gt;&lt;number&gt;2698&lt;/number&gt;&lt;keywords&gt;&lt;keyword&gt;Biofilm,Listeria monocytogenes,Pan-GWAS,Adhesion,Intraspecies diversity,NaCl,nutrient deficiency,Clonal complex (CC)&lt;/keyword&gt;&lt;/keywords&gt;&lt;dates&gt;&lt;year&gt;2019&lt;/year&gt;&lt;pub-dates&gt;&lt;date&gt;2019-November-21&lt;/date&gt;&lt;/pub-dates&gt;&lt;/dates&gt;&lt;isbn&gt;1664-302X&lt;/isbn&gt;&lt;work-type&gt;Original Research&lt;/work-type&gt;&lt;urls&gt;&lt;related-urls&gt;&lt;url&gt;https://www.frontiersin.org/article/10.3389/fmicb.2019.02698&lt;/url&gt;&lt;/related-urls&gt;&lt;/urls&gt;&lt;electronic-resource-num&gt;10.3389/fmicb.2019.02698&lt;/electronic-resource-num&gt;&lt;language&gt;English&lt;/language&gt;&lt;/record&gt;&lt;/Cite&gt;&lt;/EndNote&gt;</w:instrText>
      </w:r>
      <w:r>
        <w:fldChar w:fldCharType="separate"/>
      </w:r>
      <w:r>
        <w:rPr>
          <w:noProof/>
        </w:rPr>
        <w:t>Lee</w:t>
      </w:r>
      <w:r w:rsidRPr="00612903">
        <w:rPr>
          <w:i/>
          <w:noProof/>
        </w:rPr>
        <w:t xml:space="preserve"> et al.</w:t>
      </w:r>
      <w:r>
        <w:rPr>
          <w:noProof/>
        </w:rPr>
        <w:t xml:space="preserve"> (2019)</w:t>
      </w:r>
      <w:r>
        <w:fldChar w:fldCharType="end"/>
      </w:r>
      <w:r>
        <w:t xml:space="preserve"> ont mis en évidence que trois </w:t>
      </w:r>
      <w:r w:rsidR="00D04B37">
        <w:t>souches</w:t>
      </w:r>
      <w:r>
        <w:t xml:space="preserve"> de </w:t>
      </w:r>
      <w:r w:rsidRPr="00612903">
        <w:rPr>
          <w:i/>
        </w:rPr>
        <w:t xml:space="preserve">L. </w:t>
      </w:r>
      <w:proofErr w:type="spellStart"/>
      <w:r w:rsidRPr="00612903">
        <w:rPr>
          <w:i/>
        </w:rPr>
        <w:t>monocytogenes</w:t>
      </w:r>
      <w:proofErr w:type="spellEnd"/>
      <w:r>
        <w:t xml:space="preserve"> </w:t>
      </w:r>
      <w:r w:rsidR="00D04B37">
        <w:t>de</w:t>
      </w:r>
      <w:r>
        <w:t xml:space="preserve"> CC26</w:t>
      </w:r>
      <w:r w:rsidR="00D04B37">
        <w:t xml:space="preserve">, </w:t>
      </w:r>
      <w:r w:rsidR="00C007F5">
        <w:t>isolées de fromages</w:t>
      </w:r>
      <w:r w:rsidR="00D04B37">
        <w:t>,</w:t>
      </w:r>
      <w:r>
        <w:t xml:space="preserve"> produisaient plus de biofilm que les autres </w:t>
      </w:r>
      <w:proofErr w:type="spellStart"/>
      <w:r>
        <w:t>CC</w:t>
      </w:r>
      <w:r w:rsidR="00D04B37">
        <w:t>s</w:t>
      </w:r>
      <w:proofErr w:type="spellEnd"/>
      <w:r>
        <w:t xml:space="preserve"> d</w:t>
      </w:r>
      <w:r w:rsidR="00D04B37">
        <w:t>ans</w:t>
      </w:r>
      <w:r>
        <w:t xml:space="preserve"> leur étude lorsque ces derniers étaient cultivé</w:t>
      </w:r>
      <w:r w:rsidR="00D04B37">
        <w:t>s</w:t>
      </w:r>
      <w:r>
        <w:t xml:space="preserve"> à 10°C. </w:t>
      </w:r>
    </w:p>
    <w:p w14:paraId="5289AAB4" w14:textId="77777777" w:rsidR="00D7424E" w:rsidRDefault="00D7424E" w:rsidP="00D7424E"/>
    <w:p w14:paraId="77317000" w14:textId="7754CB2B" w:rsidR="00D7424E" w:rsidRDefault="00D7424E" w:rsidP="00D7424E">
      <w:r>
        <w:t xml:space="preserve">L’occurrence alimentaire du CC204 a été rapporté dans plusieurs études </w:t>
      </w:r>
      <w:r>
        <w:fldChar w:fldCharType="begin"/>
      </w:r>
      <w:r>
        <w:instrText xml:space="preserve"> ADDIN EN.CITE &lt;EndNote&gt;&lt;Cite&gt;&lt;Author&gt;Matle&lt;/Author&gt;&lt;Year&gt;2020&lt;/Year&gt;&lt;RecNum&gt;1272&lt;/RecNum&gt;&lt;DisplayText&gt;(Cardenas-Alvarez&lt;style face="italic"&gt; et al.&lt;/style&gt;, 2019, Matle&lt;style face="italic"&gt; et al.&lt;/style&gt;, 2020)&lt;/DisplayText&gt;&lt;record&gt;&lt;rec-number&gt;1272&lt;/rec-number&gt;&lt;foreign-keys&gt;&lt;key app="EN" db-id="xrawss2d999aevez25svdvwj909sxsvw00x2" timestamp="1619775377"&gt;1272&lt;/key&gt;&lt;/foreign-keys&gt;&lt;ref-type name="Journal Article"&gt;17&lt;/ref-type&gt;&lt;contributors&gt;&lt;authors&gt;&lt;author&gt;Matle, Itumeleng&lt;/author&gt;&lt;author&gt;Mafuna, Thendo&lt;/author&gt;&lt;author&gt;Madoroba, Evelyn&lt;/author&gt;&lt;author&gt;Mbatha, Khanyisile R&lt;/author&gt;&lt;author&gt;Magwedere, Kudakwashe&lt;/author&gt;&lt;author&gt;Pierneef, Rian&lt;/author&gt;&lt;/authors&gt;&lt;/contributors&gt;&lt;titles&gt;&lt;title&gt;Population Structure of Non-ST6 Listeria monocytogenes Isolated in the Red Meat and Poultry Value Chain in South Africa&lt;/title&gt;&lt;secondary-title&gt;Microorganisms&lt;/secondary-title&gt;&lt;/titles&gt;&lt;periodical&gt;&lt;full-title&gt;Microorganisms&lt;/full-title&gt;&lt;abbr-1&gt;Microorganisms&lt;/abbr-1&gt;&lt;/periodical&gt;&lt;pages&gt;1152&lt;/pages&gt;&lt;volume&gt;8&lt;/volume&gt;&lt;number&gt;8&lt;/number&gt;&lt;dates&gt;&lt;year&gt;2020&lt;/year&gt;&lt;/dates&gt;&lt;urls&gt;&lt;/urls&gt;&lt;/record&gt;&lt;/Cite&gt;&lt;Cite&gt;&lt;Author&gt;Cardenas-Alvarez&lt;/Author&gt;&lt;Year&gt;2019&lt;/Year&gt;&lt;RecNum&gt;1273&lt;/RecNum&gt;&lt;record&gt;&lt;rec-number&gt;1273&lt;/rec-number&gt;&lt;foreign-keys&gt;&lt;key app="EN" db-id="xrawss2d999aevez25svdvwj909sxsvw00x2" timestamp="1619775404"&gt;1273&lt;/key&gt;&lt;/foreign-keys&gt;&lt;ref-type name="Journal Article"&gt;17&lt;/ref-type&gt;&lt;contributors&gt;&lt;authors&gt;&lt;author&gt;Cardenas-Alvarez, Maria X&lt;/author&gt;&lt;author&gt;Ramsett, Megan K Townsend&lt;/author&gt;&lt;author&gt;Malekmohammadi, Sahar&lt;/author&gt;&lt;author&gt;Bergholz, Teresa M&lt;/author&gt;&lt;/authors&gt;&lt;/contributors&gt;&lt;titles&gt;&lt;title&gt;Evidence of hypervirulence in Listeria monocytogenes clonal complex 14&lt;/title&gt;&lt;secondary-title&gt;Journal of medical microbiology&lt;/secondary-title&gt;&lt;/titles&gt;&lt;periodical&gt;&lt;full-title&gt;Journal of Medical Microbiology&lt;/full-title&gt;&lt;/periodical&gt;&lt;pages&gt;1677-1685&lt;/pages&gt;&lt;volume&gt;68&lt;/volume&gt;&lt;number&gt;11&lt;/number&gt;&lt;dates&gt;&lt;year&gt;2019&lt;/year&gt;&lt;/dates&gt;&lt;isbn&gt;0022-2615&lt;/isbn&gt;&lt;urls&gt;&lt;/urls&gt;&lt;/record&gt;&lt;/Cite&gt;&lt;/EndNote&gt;</w:instrText>
      </w:r>
      <w:r>
        <w:fldChar w:fldCharType="separate"/>
      </w:r>
      <w:r>
        <w:rPr>
          <w:noProof/>
        </w:rPr>
        <w:t>(Cardenas-Alvarez</w:t>
      </w:r>
      <w:r w:rsidRPr="00D7424E">
        <w:rPr>
          <w:i/>
          <w:noProof/>
        </w:rPr>
        <w:t xml:space="preserve"> et al.</w:t>
      </w:r>
      <w:r>
        <w:rPr>
          <w:noProof/>
        </w:rPr>
        <w:t>, 2019, Matle</w:t>
      </w:r>
      <w:r w:rsidRPr="00D7424E">
        <w:rPr>
          <w:i/>
          <w:noProof/>
        </w:rPr>
        <w:t xml:space="preserve"> et al.</w:t>
      </w:r>
      <w:r>
        <w:rPr>
          <w:noProof/>
        </w:rPr>
        <w:t>, 2020)</w:t>
      </w:r>
      <w:r>
        <w:fldChar w:fldCharType="end"/>
      </w:r>
      <w:r>
        <w:t xml:space="preserve">. </w:t>
      </w:r>
      <w:r>
        <w:fldChar w:fldCharType="begin"/>
      </w:r>
      <w:r w:rsidR="00B63154">
        <w:instrText xml:space="preserve"> ADDIN EN.CITE &lt;EndNote&gt;&lt;Cite&gt;&lt;Author&gt;Palma&lt;/Author&gt;&lt;Year&gt;2020&lt;/Year&gt;&lt;RecNum&gt;1208&lt;/RecNum&gt;&lt;DisplayText&gt;(Palma&lt;style face="italic"&gt; et al.&lt;/style&gt;, 2020)&lt;/DisplayText&gt;&lt;record&gt;&lt;rec-number&gt;1208&lt;/rec-number&gt;&lt;foreign-keys&gt;&lt;key app="EN" db-id="xrawss2d999aevez25svdvwj909sxsvw00x2" timestamp="1585546935"&gt;1208&lt;/key&gt;&lt;/foreign-keys&gt;&lt;ref-type name="Journal Article"&gt;17&lt;/ref-type&gt;&lt;contributors&gt;&lt;authors&gt;&lt;author&gt;Palma, Federica&lt;/author&gt;&lt;author&gt;Brauge, Thomas&lt;/author&gt;&lt;author&gt;Radomski, Nicolas&lt;/author&gt;&lt;author&gt;Mallet, Ludovic&lt;/author&gt;&lt;author&gt;Felten, Arnaud&lt;/author&gt;&lt;author&gt;Mistou, Michel-Yves&lt;/author&gt;&lt;author&gt;Brisabois, Anne&lt;/author&gt;&lt;author&gt;Guillier, Laurent&lt;/author&gt;&lt;author&gt;Midelet-Bourdin, Graziella&lt;/author&gt;&lt;/authors&gt;&lt;/contributors&gt;&lt;titles&gt;&lt;title&gt;Dynamics of mobile genetic elements of Listeria monocytogenes persisting in ready-to-eat seafood processing plants in France&lt;/title&gt;&lt;secondary-title&gt;BMC Genomics&lt;/secondary-title&gt;&lt;/titles&gt;&lt;periodical&gt;&lt;full-title&gt;BMC Genomics&lt;/full-title&gt;&lt;/periodical&gt;&lt;pages&gt;130&lt;/pages&gt;&lt;volume&gt;21&lt;/volume&gt;&lt;number&gt;1&lt;/number&gt;&lt;dates&gt;&lt;year&gt;2020&lt;/year&gt;&lt;pub-dates&gt;&lt;date&gt;2020/02/06&lt;/date&gt;&lt;/pub-dates&gt;&lt;/dates&gt;&lt;isbn&gt;1471-2164&lt;/isbn&gt;&lt;urls&gt;&lt;related-urls&gt;&lt;url&gt;https://doi.org/10.1186/s12864-020-6544-x&lt;/url&gt;&lt;/related-urls&gt;&lt;/urls&gt;&lt;electronic-resource-num&gt;10.1186/s12864-020-6544-x&lt;/electronic-resource-num&gt;&lt;/record&gt;&lt;/Cite&gt;&lt;/EndNote&gt;</w:instrText>
      </w:r>
      <w:r>
        <w:fldChar w:fldCharType="separate"/>
      </w:r>
      <w:r w:rsidR="00D04B37">
        <w:rPr>
          <w:noProof/>
        </w:rPr>
        <w:t>P</w:t>
      </w:r>
      <w:r>
        <w:rPr>
          <w:noProof/>
        </w:rPr>
        <w:t>alma</w:t>
      </w:r>
      <w:r w:rsidRPr="00D7424E">
        <w:rPr>
          <w:i/>
          <w:noProof/>
        </w:rPr>
        <w:t xml:space="preserve"> et al.</w:t>
      </w:r>
      <w:r>
        <w:rPr>
          <w:noProof/>
        </w:rPr>
        <w:t xml:space="preserve"> </w:t>
      </w:r>
      <w:r w:rsidR="00D04B37">
        <w:rPr>
          <w:noProof/>
        </w:rPr>
        <w:t>(</w:t>
      </w:r>
      <w:r>
        <w:rPr>
          <w:noProof/>
        </w:rPr>
        <w:t>2020)</w:t>
      </w:r>
      <w:r>
        <w:fldChar w:fldCharType="end"/>
      </w:r>
      <w:r>
        <w:t xml:space="preserve"> </w:t>
      </w:r>
      <w:r w:rsidR="00D04B37">
        <w:t>a</w:t>
      </w:r>
      <w:r>
        <w:t xml:space="preserve"> mis en évidence</w:t>
      </w:r>
      <w:r w:rsidR="00D04B37">
        <w:t xml:space="preserve"> une persistance de ce CC</w:t>
      </w:r>
      <w:r>
        <w:t xml:space="preserve"> dans des ateliers de transformation des produits de la pêche. </w:t>
      </w:r>
      <w:r w:rsidR="00B67873">
        <w:t>Plusieurs auteurs</w:t>
      </w:r>
      <w:r>
        <w:t xml:space="preserve"> ont </w:t>
      </w:r>
      <w:r w:rsidR="00B67873">
        <w:t>rapporté</w:t>
      </w:r>
      <w:r>
        <w:t xml:space="preserve"> que la persistance des souches de </w:t>
      </w:r>
      <w:r w:rsidRPr="001D726F">
        <w:rPr>
          <w:i/>
        </w:rPr>
        <w:t xml:space="preserve">L. </w:t>
      </w:r>
      <w:proofErr w:type="spellStart"/>
      <w:r w:rsidRPr="001D726F">
        <w:rPr>
          <w:i/>
        </w:rPr>
        <w:t>monocytogenes</w:t>
      </w:r>
      <w:proofErr w:type="spellEnd"/>
      <w:r>
        <w:t xml:space="preserve"> CC204 pourrai</w:t>
      </w:r>
      <w:r w:rsidR="00D04B37">
        <w:t>t</w:t>
      </w:r>
      <w:r>
        <w:t xml:space="preserve"> être d</w:t>
      </w:r>
      <w:r w:rsidR="00D04B37">
        <w:t>ue</w:t>
      </w:r>
      <w:r>
        <w:t xml:space="preserve"> à </w:t>
      </w:r>
      <w:r w:rsidR="00B67873">
        <w:t>sa</w:t>
      </w:r>
      <w:r>
        <w:t xml:space="preserve"> capacité à </w:t>
      </w:r>
      <w:r w:rsidR="00B67873">
        <w:t>héberger</w:t>
      </w:r>
      <w:r>
        <w:t xml:space="preserve"> plus </w:t>
      </w:r>
      <w:r w:rsidR="00B67873">
        <w:t>fréquemment</w:t>
      </w:r>
      <w:r>
        <w:t xml:space="preserve"> </w:t>
      </w:r>
      <w:r w:rsidR="00B67873">
        <w:t>des plasmides potentiellement porteurs</w:t>
      </w:r>
      <w:r>
        <w:t xml:space="preserve"> de </w:t>
      </w:r>
      <w:r w:rsidR="00B67873">
        <w:t>gènes</w:t>
      </w:r>
      <w:r>
        <w:t xml:space="preserve"> de </w:t>
      </w:r>
      <w:r w:rsidR="00B67873">
        <w:t>résistance</w:t>
      </w:r>
      <w:r>
        <w:t xml:space="preserve"> aux </w:t>
      </w:r>
      <w:r w:rsidR="00B67873">
        <w:t>désinfectants</w:t>
      </w:r>
      <w:r>
        <w:t xml:space="preserve">. C’est par exemple ce qu’a supposé </w:t>
      </w:r>
      <w:r>
        <w:fldChar w:fldCharType="begin"/>
      </w:r>
      <w:r>
        <w:instrText xml:space="preserve"> ADDIN EN.CITE &lt;EndNote&gt;&lt;Cite AuthorYear="1"&gt;&lt;Author&gt;Stoller&lt;/Author&gt;&lt;Year&gt;2019&lt;/Year&gt;&lt;RecNum&gt;1274&lt;/RecNum&gt;&lt;DisplayText&gt;Stoller&lt;style face="italic"&gt; et al.&lt;/style&gt; (2019)&lt;/DisplayText&gt;&lt;record&gt;&lt;rec-number&gt;1274&lt;/rec-number&gt;&lt;foreign-keys&gt;&lt;key app="EN" db-id="xrawss2d999aevez25svdvwj909sxsvw00x2" timestamp="1619775891"&gt;1274&lt;/key&gt;&lt;/foreign-keys&gt;&lt;ref-type name="Journal Article"&gt;17&lt;/ref-type&gt;&lt;contributors&gt;&lt;authors&gt;&lt;author&gt;Stoller, Andrea&lt;/author&gt;&lt;author&gt;Stevens, Marc JA&lt;/author&gt;&lt;author&gt;Stephan, Roger&lt;/author&gt;&lt;author&gt;Guldimann, Claudia&lt;/author&gt;&lt;/authors&gt;&lt;/contributors&gt;&lt;titles&gt;&lt;title&gt;Characteristics of Listeria monocytogenes strains persisting in a meat processing facility over a 4-year period&lt;/title&gt;&lt;secondary-title&gt;Pathogens&lt;/secondary-title&gt;&lt;/titles&gt;&lt;periodical&gt;&lt;full-title&gt;Pathogens&lt;/full-title&gt;&lt;/periodical&gt;&lt;pages&gt;32&lt;/pages&gt;&lt;volume&gt;8&lt;/volume&gt;&lt;number&gt;1&lt;/number&gt;&lt;dates&gt;&lt;year&gt;2019&lt;/year&gt;&lt;/dates&gt;&lt;urls&gt;&lt;/urls&gt;&lt;/record&gt;&lt;/Cite&gt;&lt;/EndNote&gt;</w:instrText>
      </w:r>
      <w:r>
        <w:fldChar w:fldCharType="separate"/>
      </w:r>
      <w:r>
        <w:rPr>
          <w:noProof/>
        </w:rPr>
        <w:t>Stoller</w:t>
      </w:r>
      <w:r w:rsidRPr="00D7424E">
        <w:rPr>
          <w:i/>
          <w:noProof/>
        </w:rPr>
        <w:t xml:space="preserve"> et al.</w:t>
      </w:r>
      <w:r>
        <w:rPr>
          <w:noProof/>
        </w:rPr>
        <w:t xml:space="preserve"> (2019)</w:t>
      </w:r>
      <w:r>
        <w:fldChar w:fldCharType="end"/>
      </w:r>
      <w:r>
        <w:t xml:space="preserve"> qui a mis en </w:t>
      </w:r>
      <w:r w:rsidR="00B67873">
        <w:t>évidence</w:t>
      </w:r>
      <w:r>
        <w:t xml:space="preserve"> que des souches de </w:t>
      </w:r>
      <w:r w:rsidRPr="001D726F">
        <w:rPr>
          <w:i/>
        </w:rPr>
        <w:t xml:space="preserve">L. </w:t>
      </w:r>
      <w:proofErr w:type="spellStart"/>
      <w:r w:rsidRPr="001D726F">
        <w:rPr>
          <w:i/>
        </w:rPr>
        <w:t>monocytogenes</w:t>
      </w:r>
      <w:proofErr w:type="spellEnd"/>
      <w:r w:rsidRPr="001D726F">
        <w:rPr>
          <w:i/>
        </w:rPr>
        <w:t xml:space="preserve"> </w:t>
      </w:r>
      <w:r>
        <w:t xml:space="preserve">CC204 </w:t>
      </w:r>
      <w:r w:rsidR="00B67873">
        <w:t>présentait</w:t>
      </w:r>
      <w:r>
        <w:t xml:space="preserve"> </w:t>
      </w:r>
      <w:r w:rsidR="00B67873">
        <w:t>une</w:t>
      </w:r>
      <w:r>
        <w:t xml:space="preserve"> </w:t>
      </w:r>
      <w:r w:rsidR="00B67873">
        <w:t>résistance</w:t>
      </w:r>
      <w:r>
        <w:t xml:space="preserve"> accrue à 10 </w:t>
      </w:r>
      <w:r w:rsidRPr="00D7424E">
        <w:t>µg/</w:t>
      </w:r>
      <w:proofErr w:type="spellStart"/>
      <w:r w:rsidRPr="00D7424E">
        <w:t>mL</w:t>
      </w:r>
      <w:proofErr w:type="spellEnd"/>
      <w:r w:rsidRPr="00D7424E">
        <w:t xml:space="preserve"> de chlorure de </w:t>
      </w:r>
      <w:proofErr w:type="spellStart"/>
      <w:r w:rsidRPr="00D7424E">
        <w:t>benzalkonium</w:t>
      </w:r>
      <w:proofErr w:type="spellEnd"/>
      <w:r>
        <w:t xml:space="preserve"> et pouvait potentiellement porté</w:t>
      </w:r>
      <w:r w:rsidR="00AE010B">
        <w:t>es</w:t>
      </w:r>
      <w:r>
        <w:t xml:space="preserve"> les </w:t>
      </w:r>
      <w:r w:rsidR="00B67873">
        <w:t>gènes</w:t>
      </w:r>
      <w:r>
        <w:t xml:space="preserve"> </w:t>
      </w:r>
      <w:proofErr w:type="spellStart"/>
      <w:r w:rsidRPr="00B67873">
        <w:rPr>
          <w:i/>
        </w:rPr>
        <w:t>qach</w:t>
      </w:r>
      <w:proofErr w:type="spellEnd"/>
      <w:r>
        <w:t xml:space="preserve"> et </w:t>
      </w:r>
      <w:proofErr w:type="spellStart"/>
      <w:r w:rsidRPr="00B67873">
        <w:rPr>
          <w:i/>
        </w:rPr>
        <w:t>brcABC</w:t>
      </w:r>
      <w:proofErr w:type="spellEnd"/>
      <w:r>
        <w:t xml:space="preserve"> </w:t>
      </w:r>
      <w:r w:rsidR="00B67873">
        <w:t>conférant</w:t>
      </w:r>
      <w:r>
        <w:t xml:space="preserve"> des </w:t>
      </w:r>
      <w:r w:rsidR="00B67873">
        <w:t>résistance</w:t>
      </w:r>
      <w:r w:rsidR="00AE010B">
        <w:t>s</w:t>
      </w:r>
      <w:r>
        <w:t xml:space="preserve"> à ces </w:t>
      </w:r>
      <w:r w:rsidR="00B67873">
        <w:t>désinfectant</w:t>
      </w:r>
      <w:r w:rsidR="00AE010B">
        <w:t>s</w:t>
      </w:r>
      <w:r w:rsidR="00B67873">
        <w:t>.</w:t>
      </w:r>
      <w:r w:rsidR="001D726F">
        <w:t xml:space="preserve"> Ces observations viennent confirmer </w:t>
      </w:r>
      <w:r w:rsidR="00AE010B">
        <w:t>celles</w:t>
      </w:r>
      <w:r w:rsidR="001D726F">
        <w:t xml:space="preserve"> de </w:t>
      </w:r>
      <w:r w:rsidR="001D726F">
        <w:fldChar w:fldCharType="begin"/>
      </w:r>
      <w:r w:rsidR="001D726F">
        <w:instrText xml:space="preserve"> ADDIN EN.CITE &lt;EndNote&gt;&lt;Cite&gt;&lt;Author&gt;Félix&lt;/Author&gt;&lt;Year&gt;2018&lt;/Year&gt;&lt;RecNum&gt;1260&lt;/RecNum&gt;&lt;DisplayText&gt;(Félix&lt;style face="italic"&gt; et al.&lt;/style&gt;, 2018)&lt;/DisplayText&gt;&lt;record&gt;&lt;rec-number&gt;1260&lt;/rec-number&gt;&lt;foreign-keys&gt;&lt;key app="EN" db-id="xrawss2d999aevez25svdvwj909sxsvw00x2" timestamp="1619187176"&gt;1260&lt;/key&gt;&lt;/foreign-keys&gt;&lt;ref-type name="Journal Article"&gt;17&lt;/ref-type&gt;&lt;contributors&gt;&lt;authors&gt;&lt;author&gt;Félix, Benjamin&lt;/author&gt;&lt;author&gt;Feurer, Carole&lt;/author&gt;&lt;author&gt;Maillet, Aurelien&lt;/author&gt;&lt;author&gt;Guillier, Laurent&lt;/author&gt;&lt;author&gt;Boscher, Evelyne&lt;/author&gt;&lt;author&gt;Kerouanton, Annaëlle&lt;/author&gt;&lt;author&gt;Denis, Martine&lt;/author&gt;&lt;author&gt;Roussel, Sophie&lt;/author&gt;&lt;/authors&gt;&lt;/contributors&gt;&lt;titles&gt;&lt;title&gt;Population genetic structure of Listeria monocytogenes strains isolated from the pig and pork production chain in France&lt;/title&gt;&lt;secondary-title&gt;Frontiers in microbiology&lt;/secondary-title&gt;&lt;/titles&gt;&lt;periodical&gt;&lt;full-title&gt;Front Microbiol&lt;/full-title&gt;&lt;abbr-1&gt;Frontiers in microbiology&lt;/abbr-1&gt;&lt;/periodical&gt;&lt;pages&gt;684&lt;/pages&gt;&lt;volume&gt;9&lt;/volume&gt;&lt;dates&gt;&lt;year&gt;2018&lt;/year&gt;&lt;/dates&gt;&lt;isbn&gt;1664-302X&lt;/isbn&gt;&lt;urls&gt;&lt;/urls&gt;&lt;/record&gt;&lt;/Cite&gt;&lt;/EndNote&gt;</w:instrText>
      </w:r>
      <w:r w:rsidR="001D726F">
        <w:fldChar w:fldCharType="separate"/>
      </w:r>
      <w:r w:rsidR="001D726F">
        <w:rPr>
          <w:noProof/>
        </w:rPr>
        <w:t>Félix</w:t>
      </w:r>
      <w:r w:rsidR="001D726F" w:rsidRPr="001D726F">
        <w:rPr>
          <w:i/>
          <w:noProof/>
        </w:rPr>
        <w:t xml:space="preserve"> et al.</w:t>
      </w:r>
      <w:r w:rsidR="001D726F">
        <w:rPr>
          <w:noProof/>
        </w:rPr>
        <w:t xml:space="preserve"> </w:t>
      </w:r>
      <w:r w:rsidR="00AE010B">
        <w:rPr>
          <w:noProof/>
        </w:rPr>
        <w:t>(</w:t>
      </w:r>
      <w:r w:rsidR="001D726F">
        <w:rPr>
          <w:noProof/>
        </w:rPr>
        <w:t>2018)</w:t>
      </w:r>
      <w:r w:rsidR="001D726F">
        <w:fldChar w:fldCharType="end"/>
      </w:r>
      <w:r w:rsidR="001D726F">
        <w:t xml:space="preserve"> qui a </w:t>
      </w:r>
      <w:r w:rsidR="00631F94">
        <w:t>également</w:t>
      </w:r>
      <w:r w:rsidR="001D726F">
        <w:t xml:space="preserve"> mis en </w:t>
      </w:r>
      <w:r w:rsidR="00631F94">
        <w:t>évidence</w:t>
      </w:r>
      <w:r w:rsidR="00AE010B">
        <w:t xml:space="preserve"> une occurrence importante du</w:t>
      </w:r>
      <w:r w:rsidR="001D726F">
        <w:t xml:space="preserve"> CC204 dans la filière de</w:t>
      </w:r>
      <w:r w:rsidR="00AE010B">
        <w:t>s</w:t>
      </w:r>
      <w:r w:rsidR="001D726F">
        <w:t xml:space="preserve"> produit</w:t>
      </w:r>
      <w:r w:rsidR="00AE010B">
        <w:t>s</w:t>
      </w:r>
      <w:r w:rsidR="001D726F">
        <w:t xml:space="preserve"> de la pêche comparativement </w:t>
      </w:r>
      <w:r w:rsidR="00AE010B">
        <w:t>à</w:t>
      </w:r>
      <w:r w:rsidR="001D726F">
        <w:t xml:space="preserve"> d’autre</w:t>
      </w:r>
      <w:r w:rsidR="00AE010B">
        <w:t>s</w:t>
      </w:r>
      <w:r w:rsidR="001D726F">
        <w:t xml:space="preserve"> filières (carné, végétaux ou lait)</w:t>
      </w:r>
      <w:r w:rsidR="00AE010B">
        <w:t>.</w:t>
      </w:r>
    </w:p>
    <w:p w14:paraId="7D35DB90" w14:textId="3ACB971B" w:rsidR="00B67873" w:rsidRDefault="00B67873" w:rsidP="00D7424E"/>
    <w:p w14:paraId="2F70AA9F" w14:textId="1F8DFE32" w:rsidR="00B67873" w:rsidRDefault="00B67873" w:rsidP="00D7424E">
      <w:r>
        <w:t>Paradoxalement, malgré une occurrence avéré</w:t>
      </w:r>
      <w:r w:rsidR="00A87017">
        <w:t>e dans les aliments (t</w:t>
      </w:r>
      <w:r>
        <w:t>roisième CC le</w:t>
      </w:r>
      <w:r w:rsidRPr="00B67873">
        <w:t xml:space="preserve"> plus fréque</w:t>
      </w:r>
      <w:r>
        <w:t xml:space="preserve">mment isolé </w:t>
      </w:r>
      <w:r w:rsidRPr="00B67873">
        <w:t>dans les aliments</w:t>
      </w:r>
      <w:r>
        <w:t xml:space="preserve"> </w:t>
      </w:r>
      <w:r w:rsidR="000F6654">
        <w:t xml:space="preserve">en 2018 et premier CC le plus </w:t>
      </w:r>
      <w:r w:rsidR="000F6654" w:rsidRPr="000F6654">
        <w:t>fréque</w:t>
      </w:r>
      <w:r w:rsidR="000F6654">
        <w:t xml:space="preserve">mment isolé </w:t>
      </w:r>
      <w:r w:rsidR="000F6654" w:rsidRPr="000F6654">
        <w:t>dans l’environnement de production alimentaire</w:t>
      </w:r>
      <w:r w:rsidR="000F6654">
        <w:t xml:space="preserve"> </w:t>
      </w:r>
      <w:r>
        <w:t>selon</w:t>
      </w:r>
      <w:r w:rsidR="000F6654">
        <w:t xml:space="preserve"> le rapport d’activé </w:t>
      </w:r>
      <w:r w:rsidR="00742BD8">
        <w:t>du CNR</w:t>
      </w:r>
      <w:r w:rsidR="000F6654">
        <w:t xml:space="preserve"> </w:t>
      </w:r>
      <w:r w:rsidR="00742BD8">
        <w:t>(</w:t>
      </w:r>
      <w:r>
        <w:fldChar w:fldCharType="begin"/>
      </w:r>
      <w:r>
        <w:instrText xml:space="preserve"> ADDIN EN.CITE &lt;EndNote&gt;&lt;Cite AuthorYear="1"&gt;&lt;Author&gt;Pasteur&lt;/Author&gt;&lt;Year&gt;2018&lt;/Year&gt;&lt;RecNum&gt;1270&lt;/RecNum&gt;&lt;DisplayText&gt;Pasteur (2018)&lt;/DisplayText&gt;&lt;record&gt;&lt;rec-number&gt;1270&lt;/rec-number&gt;&lt;foreign-keys&gt;&lt;key app="EN" db-id="xrawss2d999aevez25svdvwj909sxsvw00x2" timestamp="1619772072"&gt;1270&lt;/key&gt;&lt;/foreign-keys&gt;&lt;ref-type name="Web Page"&gt;12&lt;/ref-type&gt;&lt;contributors&gt;&lt;authors&gt;&lt;author&gt;Institut Pasteur&lt;/author&gt;&lt;/authors&gt;&lt;/contributors&gt;&lt;titles&gt;&lt;title&gt;Rapports d&amp;apos;activité du CNR des Listeria&lt;/title&gt;&lt;/titles&gt;&lt;dates&gt;&lt;year&gt;2018&lt;/year&gt;&lt;/dates&gt;&lt;urls&gt;&lt;related-urls&gt;&lt;url&gt;https://www.pasteur.fr/fr/sante-publique/CNR/les-cnr/listeria/rapports-d-activite&lt;/url&gt;&lt;/related-urls&gt;&lt;/urls&gt;&lt;/record&gt;&lt;/Cite&gt;&lt;/EndNote&gt;</w:instrText>
      </w:r>
      <w:r>
        <w:fldChar w:fldCharType="separate"/>
      </w:r>
      <w:r>
        <w:rPr>
          <w:noProof/>
        </w:rPr>
        <w:t>Pasteur (2018)</w:t>
      </w:r>
      <w:r>
        <w:fldChar w:fldCharType="end"/>
      </w:r>
      <w:r w:rsidR="000F6654">
        <w:t>), nous avons isolé très peu de CC9 dans le cadre de notre étude. Ces résultat</w:t>
      </w:r>
      <w:r w:rsidR="00026D14">
        <w:t>s ont confirmé</w:t>
      </w:r>
      <w:r w:rsidR="000F6654">
        <w:t xml:space="preserve"> les précédente</w:t>
      </w:r>
      <w:r w:rsidR="00026D14">
        <w:t>s</w:t>
      </w:r>
      <w:r w:rsidR="000F6654">
        <w:t xml:space="preserve"> observation</w:t>
      </w:r>
      <w:r w:rsidR="00026D14">
        <w:t>s</w:t>
      </w:r>
      <w:r w:rsidR="000F6654">
        <w:t xml:space="preserve"> de </w:t>
      </w:r>
      <w:r w:rsidR="000F6654">
        <w:fldChar w:fldCharType="begin"/>
      </w:r>
      <w:r w:rsidR="000F6654">
        <w:instrText xml:space="preserve"> ADDIN EN.CITE &lt;EndNote&gt;&lt;Cite AuthorYear="1"&gt;&lt;Author&gt;Félix&lt;/Author&gt;&lt;Year&gt;2018&lt;/Year&gt;&lt;RecNum&gt;1260&lt;/RecNum&gt;&lt;DisplayText&gt;Félix&lt;style face="italic"&gt; et al.&lt;/style&gt; (2018)&lt;/DisplayText&gt;&lt;record&gt;&lt;rec-number&gt;1260&lt;/rec-number&gt;&lt;foreign-keys&gt;&lt;key app="EN" db-id="xrawss2d999aevez25svdvwj909sxsvw00x2" timestamp="1619187176"&gt;1260&lt;/key&gt;&lt;/foreign-keys&gt;&lt;ref-type name="Journal Article"&gt;17&lt;/ref-type&gt;&lt;contributors&gt;&lt;authors&gt;&lt;author&gt;Félix, Benjamin&lt;/author&gt;&lt;author&gt;Feurer, Carole&lt;/author&gt;&lt;author&gt;Maillet, Aurelien&lt;/author&gt;&lt;author&gt;Guillier, Laurent&lt;/author&gt;&lt;author&gt;Boscher, Evelyne&lt;/author&gt;&lt;author&gt;Kerouanton, Annaëlle&lt;/author&gt;&lt;author&gt;Denis, Martine&lt;/author&gt;&lt;author&gt;Roussel, Sophie&lt;/author&gt;&lt;/authors&gt;&lt;/contributors&gt;&lt;titles&gt;&lt;title&gt;Population genetic structure of Listeria monocytogenes strains isolated from the pig and pork production chain in France&lt;/title&gt;&lt;secondary-title&gt;Frontiers in microbiology&lt;/secondary-title&gt;&lt;/titles&gt;&lt;periodical&gt;&lt;full-title&gt;Front Microbiol&lt;/full-title&gt;&lt;abbr-1&gt;Frontiers in microbiology&lt;/abbr-1&gt;&lt;/periodical&gt;&lt;pages&gt;684&lt;/pages&gt;&lt;volume&gt;9&lt;/volume&gt;&lt;dates&gt;&lt;year&gt;2018&lt;/year&gt;&lt;/dates&gt;&lt;isbn&gt;1664-302X&lt;/isbn&gt;&lt;urls&gt;&lt;/urls&gt;&lt;/record&gt;&lt;/Cite&gt;&lt;/EndNote&gt;</w:instrText>
      </w:r>
      <w:r w:rsidR="000F6654">
        <w:fldChar w:fldCharType="separate"/>
      </w:r>
      <w:r w:rsidR="000F6654">
        <w:rPr>
          <w:noProof/>
        </w:rPr>
        <w:t>Félix</w:t>
      </w:r>
      <w:r w:rsidR="000F6654" w:rsidRPr="000F6654">
        <w:rPr>
          <w:i/>
          <w:noProof/>
        </w:rPr>
        <w:t xml:space="preserve"> et al.</w:t>
      </w:r>
      <w:r w:rsidR="000F6654">
        <w:rPr>
          <w:noProof/>
        </w:rPr>
        <w:t xml:space="preserve"> (2018)</w:t>
      </w:r>
      <w:r w:rsidR="000F6654">
        <w:fldChar w:fldCharType="end"/>
      </w:r>
      <w:r w:rsidR="00026D14">
        <w:t xml:space="preserve"> qui a évalué</w:t>
      </w:r>
      <w:r w:rsidR="000F6654">
        <w:t xml:space="preserve"> la diversité génétique de </w:t>
      </w:r>
      <w:r w:rsidR="000F6654" w:rsidRPr="000F6654">
        <w:rPr>
          <w:i/>
        </w:rPr>
        <w:t xml:space="preserve">L. </w:t>
      </w:r>
      <w:proofErr w:type="spellStart"/>
      <w:r w:rsidR="000F6654" w:rsidRPr="000F6654">
        <w:rPr>
          <w:i/>
        </w:rPr>
        <w:t>monocytogenes</w:t>
      </w:r>
      <w:proofErr w:type="spellEnd"/>
      <w:r w:rsidR="000F6654">
        <w:t xml:space="preserve"> </w:t>
      </w:r>
      <w:r w:rsidR="00026D14">
        <w:t>isolées</w:t>
      </w:r>
      <w:r w:rsidR="000F6654">
        <w:t xml:space="preserve"> </w:t>
      </w:r>
      <w:r w:rsidR="00026D14">
        <w:t>dans plusieurs</w:t>
      </w:r>
      <w:r w:rsidR="000F6654">
        <w:t xml:space="preserve"> filières. Ainsi les auteurs ont mis en évidence que le CC9 était largement représent</w:t>
      </w:r>
      <w:r w:rsidR="00026D14">
        <w:t>é</w:t>
      </w:r>
      <w:r w:rsidR="000F6654">
        <w:t xml:space="preserve"> dans la filière porcine mais </w:t>
      </w:r>
      <w:r w:rsidR="00026D14">
        <w:t xml:space="preserve">il était </w:t>
      </w:r>
      <w:r w:rsidR="000F6654">
        <w:t xml:space="preserve">rarement trouvé dans la filière des produits de la pêche, des produits laitiers et des végétaux (fruits et légumes). </w:t>
      </w:r>
      <w:r w:rsidR="001D726F">
        <w:t>L’</w:t>
      </w:r>
      <w:proofErr w:type="spellStart"/>
      <w:r w:rsidR="001D726F">
        <w:t>hypovirulence</w:t>
      </w:r>
      <w:proofErr w:type="spellEnd"/>
      <w:r w:rsidR="001D726F">
        <w:t xml:space="preserve"> de ces souche</w:t>
      </w:r>
      <w:r w:rsidR="00061634">
        <w:t>s</w:t>
      </w:r>
      <w:r w:rsidR="00026D14">
        <w:t xml:space="preserve"> étudiées</w:t>
      </w:r>
      <w:r w:rsidR="001D726F">
        <w:t xml:space="preserve"> a également été mis en évidence par </w:t>
      </w:r>
      <w:r w:rsidR="001D726F">
        <w:fldChar w:fldCharType="begin"/>
      </w:r>
      <w:r w:rsidR="001D726F">
        <w:instrText xml:space="preserve"> ADDIN EN.CITE &lt;EndNote&gt;&lt;Cite&gt;&lt;Author&gt;Maury&lt;/Author&gt;&lt;Year&gt;2016&lt;/Year&gt;&lt;RecNum&gt;1263&lt;/RecNum&gt;&lt;DisplayText&gt;(Maury&lt;style face="italic"&gt; et al.&lt;/style&gt;, 2016)&lt;/DisplayText&gt;&lt;record&gt;&lt;rec-number&gt;1263&lt;/rec-number&gt;&lt;foreign-keys&gt;&lt;key app="EN" db-id="xrawss2d999aevez25svdvwj909sxsvw00x2" timestamp="1619586147"&gt;1263&lt;/key&gt;&lt;/foreign-keys&gt;&lt;ref-type name="Journal Article"&gt;17&lt;/ref-type&gt;&lt;contributors&gt;&lt;authors&gt;&lt;author&gt;Maury, Mylène M&lt;/author&gt;&lt;author&gt;Tsai, Yu-Huan&lt;/author&gt;&lt;author&gt;Charlier, Caroline&lt;/author&gt;&lt;author&gt;Touchon, Marie&lt;/author&gt;&lt;author&gt;Chenal-Francisque, Viviane&lt;/author&gt;&lt;author&gt;Leclercq, Alexandre&lt;/author&gt;&lt;author&gt;Criscuolo, Alexis&lt;/author&gt;&lt;author&gt;Gaultier, Charlotte&lt;/author&gt;&lt;author&gt;Roussel, Sophie&lt;/author&gt;&lt;author&gt;Brisabois, Anne&lt;/author&gt;&lt;/authors&gt;&lt;/contributors&gt;&lt;titles&gt;&lt;title&gt;Uncovering Listeria monocytogenes hypervirulence by harnessing its biodiversity&lt;/title&gt;&lt;secondary-title&gt;Nature genetics&lt;/secondary-title&gt;&lt;/titles&gt;&lt;periodical&gt;&lt;full-title&gt;Nature genetics&lt;/full-title&gt;&lt;/periodical&gt;&lt;pages&gt;308&lt;/pages&gt;&lt;volume&gt;48&lt;/volume&gt;&lt;number&gt;3&lt;/number&gt;&lt;dates&gt;&lt;year&gt;2016&lt;/year&gt;&lt;/dates&gt;&lt;isbn&gt;1546-1718&lt;/isbn&gt;&lt;urls&gt;&lt;/urls&gt;&lt;/record&gt;&lt;/Cite&gt;&lt;/EndNote&gt;</w:instrText>
      </w:r>
      <w:r w:rsidR="001D726F">
        <w:fldChar w:fldCharType="separate"/>
      </w:r>
      <w:r w:rsidR="001D726F">
        <w:rPr>
          <w:noProof/>
        </w:rPr>
        <w:t>Maury</w:t>
      </w:r>
      <w:r w:rsidR="001D726F" w:rsidRPr="001D726F">
        <w:rPr>
          <w:i/>
          <w:noProof/>
        </w:rPr>
        <w:t xml:space="preserve"> et al.</w:t>
      </w:r>
      <w:r w:rsidR="001D726F">
        <w:rPr>
          <w:noProof/>
        </w:rPr>
        <w:t xml:space="preserve"> </w:t>
      </w:r>
      <w:r w:rsidR="00026D14">
        <w:rPr>
          <w:noProof/>
        </w:rPr>
        <w:t>(</w:t>
      </w:r>
      <w:r w:rsidR="001D726F">
        <w:rPr>
          <w:noProof/>
        </w:rPr>
        <w:t>2016)</w:t>
      </w:r>
      <w:r w:rsidR="001D726F">
        <w:fldChar w:fldCharType="end"/>
      </w:r>
      <w:r w:rsidR="001D726F">
        <w:t>. Cependant</w:t>
      </w:r>
      <w:r w:rsidR="00026D14">
        <w:t>,</w:t>
      </w:r>
      <w:r w:rsidR="001D726F">
        <w:t xml:space="preserve"> </w:t>
      </w:r>
      <w:r w:rsidR="001D726F">
        <w:fldChar w:fldCharType="begin"/>
      </w:r>
      <w:r w:rsidR="001D726F">
        <w:instrText xml:space="preserve"> ADDIN EN.CITE &lt;EndNote&gt;&lt;Cite AuthorYear="1"&gt;&lt;Author&gt;Yin&lt;/Author&gt;&lt;Year&gt;2015&lt;/Year&gt;&lt;RecNum&gt;1269&lt;/RecNum&gt;&lt;DisplayText&gt;Yin&lt;style face="italic"&gt; et al.&lt;/style&gt; (2015)&lt;/DisplayText&gt;&lt;record&gt;&lt;rec-number&gt;1269&lt;/rec-number&gt;&lt;foreign-keys&gt;&lt;key app="EN" db-id="xrawss2d999aevez25svdvwj909sxsvw00x2" timestamp="1619770128"&gt;1269&lt;/key&gt;&lt;/foreign-keys&gt;&lt;ref-type name="Journal Article"&gt;17&lt;/ref-type&gt;&lt;contributors&gt;&lt;authors&gt;&lt;author&gt;Yin, Yuelan&lt;/author&gt;&lt;author&gt;Tan, Weijun&lt;/author&gt;&lt;author&gt;Wang, Guoliang&lt;/author&gt;&lt;author&gt;Kong, Suwei&lt;/author&gt;&lt;author&gt;Zhou, Xiaohui&lt;/author&gt;&lt;author&gt;Zhao, Dan&lt;/author&gt;&lt;author&gt;Jia, Yanyan&lt;/author&gt;&lt;author&gt;Pan, Zhiming&lt;/author&gt;&lt;/authors&gt;&lt;/contributors&gt;&lt;titles&gt;&lt;title&gt;Geographical and longitudinal analysis of Listeria monocytogenes genetic diversity reveals its correlation with virulence and unique evolution&lt;/title&gt;&lt;secondary-title&gt;Microbiological research&lt;/secondary-title&gt;&lt;/titles&gt;&lt;periodical&gt;&lt;full-title&gt;Microbiological research&lt;/full-title&gt;&lt;/periodical&gt;&lt;pages&gt;84-92&lt;/pages&gt;&lt;volume&gt;175&lt;/volume&gt;&lt;dates&gt;&lt;year&gt;2015&lt;/year&gt;&lt;/dates&gt;&lt;isbn&gt;0944-5013&lt;/isbn&gt;&lt;urls&gt;&lt;/urls&gt;&lt;/record&gt;&lt;/Cite&gt;&lt;/EndNote&gt;</w:instrText>
      </w:r>
      <w:r w:rsidR="001D726F">
        <w:fldChar w:fldCharType="separate"/>
      </w:r>
      <w:r w:rsidR="001D726F">
        <w:rPr>
          <w:noProof/>
        </w:rPr>
        <w:t>Yin</w:t>
      </w:r>
      <w:r w:rsidR="001D726F" w:rsidRPr="001D726F">
        <w:rPr>
          <w:i/>
          <w:noProof/>
        </w:rPr>
        <w:t xml:space="preserve"> et al.</w:t>
      </w:r>
      <w:r w:rsidR="001D726F">
        <w:rPr>
          <w:noProof/>
        </w:rPr>
        <w:t xml:space="preserve"> (2015)</w:t>
      </w:r>
      <w:r w:rsidR="001D726F">
        <w:fldChar w:fldCharType="end"/>
      </w:r>
      <w:r w:rsidR="001D726F">
        <w:t xml:space="preserve"> ont clairement démontré que les souches de </w:t>
      </w:r>
      <w:r w:rsidR="001D726F" w:rsidRPr="001D726F">
        <w:rPr>
          <w:i/>
        </w:rPr>
        <w:t xml:space="preserve">L. </w:t>
      </w:r>
      <w:proofErr w:type="spellStart"/>
      <w:r w:rsidR="001D726F" w:rsidRPr="001D726F">
        <w:rPr>
          <w:i/>
        </w:rPr>
        <w:t>monocytogenes</w:t>
      </w:r>
      <w:proofErr w:type="spellEnd"/>
      <w:r w:rsidR="001D726F">
        <w:t xml:space="preserve"> CC9 étaient </w:t>
      </w:r>
      <w:r w:rsidR="0020332F">
        <w:t>susceptible</w:t>
      </w:r>
      <w:r w:rsidR="00026D14">
        <w:t>s</w:t>
      </w:r>
      <w:r w:rsidR="001D726F">
        <w:t xml:space="preserve"> de provoquer des cas sporadique</w:t>
      </w:r>
      <w:r w:rsidR="007974F2">
        <w:t>s</w:t>
      </w:r>
      <w:r w:rsidR="001D726F">
        <w:t xml:space="preserve"> de </w:t>
      </w:r>
      <w:r w:rsidR="00026D14">
        <w:t>l</w:t>
      </w:r>
      <w:r w:rsidR="001D726F">
        <w:t>ist</w:t>
      </w:r>
      <w:r w:rsidR="00026D14">
        <w:t>é</w:t>
      </w:r>
      <w:r w:rsidR="001D726F">
        <w:t>riose</w:t>
      </w:r>
      <w:r w:rsidR="00026D14">
        <w:t>s</w:t>
      </w:r>
      <w:r w:rsidR="001D726F">
        <w:t xml:space="preserve">. Dans cette même </w:t>
      </w:r>
      <w:r w:rsidR="0020332F">
        <w:t>étude</w:t>
      </w:r>
      <w:r w:rsidR="00026D14">
        <w:t>,</w:t>
      </w:r>
      <w:r w:rsidR="001D726F">
        <w:t xml:space="preserve"> les auteurs ont rapporté que les </w:t>
      </w:r>
      <w:proofErr w:type="spellStart"/>
      <w:r w:rsidR="001D726F">
        <w:t>CC</w:t>
      </w:r>
      <w:r w:rsidR="00026D14">
        <w:t>s</w:t>
      </w:r>
      <w:proofErr w:type="spellEnd"/>
      <w:r w:rsidR="001D726F">
        <w:t xml:space="preserve"> 1 et 6 étaient susceptible</w:t>
      </w:r>
      <w:r w:rsidR="00026D14">
        <w:t>s</w:t>
      </w:r>
      <w:r w:rsidR="001D726F">
        <w:t xml:space="preserve"> de provoquer </w:t>
      </w:r>
      <w:r w:rsidR="0020332F">
        <w:t>des épidémies</w:t>
      </w:r>
      <w:r w:rsidR="00026D14">
        <w:t xml:space="preserve"> de l</w:t>
      </w:r>
      <w:r w:rsidR="001D726F">
        <w:t>ist</w:t>
      </w:r>
      <w:r w:rsidR="00026D14">
        <w:t>é</w:t>
      </w:r>
      <w:r w:rsidR="001D726F">
        <w:t>riose</w:t>
      </w:r>
      <w:r w:rsidR="00026D14">
        <w:t>s</w:t>
      </w:r>
      <w:r w:rsidR="001D726F">
        <w:t xml:space="preserve">. </w:t>
      </w:r>
      <w:r w:rsidR="001D726F">
        <w:fldChar w:fldCharType="begin"/>
      </w:r>
      <w:r w:rsidR="001D726F">
        <w:instrText xml:space="preserve"> ADDIN EN.CITE &lt;EndNote&gt;&lt;Cite&gt;&lt;Author&gt;Maury&lt;/Author&gt;&lt;Year&gt;2016&lt;/Year&gt;&lt;RecNum&gt;1263&lt;/RecNum&gt;&lt;DisplayText&gt;(Maury&lt;style face="italic"&gt; et al.&lt;/style&gt;, 2016)&lt;/DisplayText&gt;&lt;record&gt;&lt;rec-number&gt;1263&lt;/rec-number&gt;&lt;foreign-keys&gt;&lt;key app="EN" db-id="xrawss2d999aevez25svdvwj909sxsvw00x2" timestamp="1619586147"&gt;1263&lt;/key&gt;&lt;/foreign-keys&gt;&lt;ref-type name="Journal Article"&gt;17&lt;/ref-type&gt;&lt;contributors&gt;&lt;authors&gt;&lt;author&gt;Maury, Mylène M&lt;/author&gt;&lt;author&gt;Tsai, Yu-Huan&lt;/author&gt;&lt;author&gt;Charlier, Caroline&lt;/author&gt;&lt;author&gt;Touchon, Marie&lt;/author&gt;&lt;author&gt;Chenal-Francisque, Viviane&lt;/author&gt;&lt;author&gt;Leclercq, Alexandre&lt;/author&gt;&lt;author&gt;Criscuolo, Alexis&lt;/author&gt;&lt;author&gt;Gaultier, Charlotte&lt;/author&gt;&lt;author&gt;Roussel, Sophie&lt;/author&gt;&lt;author&gt;Brisabois, Anne&lt;/author&gt;&lt;/authors&gt;&lt;/contributors&gt;&lt;titles&gt;&lt;title&gt;Uncovering Listeria monocytogenes hypervirulence by harnessing its biodiversity&lt;/title&gt;&lt;secondary-title&gt;Nature genetics&lt;/secondary-title&gt;&lt;/titles&gt;&lt;periodical&gt;&lt;full-title&gt;Nature genetics&lt;/full-title&gt;&lt;/periodical&gt;&lt;pages&gt;308&lt;/pages&gt;&lt;volume&gt;48&lt;/volume&gt;&lt;number&gt;3&lt;/number&gt;&lt;dates&gt;&lt;year&gt;2016&lt;/year&gt;&lt;/dates&gt;&lt;isbn&gt;1546-1718&lt;/isbn&gt;&lt;urls&gt;&lt;/urls&gt;&lt;/record&gt;&lt;/Cite&gt;&lt;/EndNote&gt;</w:instrText>
      </w:r>
      <w:r w:rsidR="001D726F">
        <w:fldChar w:fldCharType="separate"/>
      </w:r>
      <w:r w:rsidR="001D726F">
        <w:rPr>
          <w:noProof/>
        </w:rPr>
        <w:t>Maury</w:t>
      </w:r>
      <w:r w:rsidR="001D726F" w:rsidRPr="001D726F">
        <w:rPr>
          <w:i/>
          <w:noProof/>
        </w:rPr>
        <w:t xml:space="preserve"> et al.</w:t>
      </w:r>
      <w:r w:rsidR="001D726F">
        <w:rPr>
          <w:noProof/>
        </w:rPr>
        <w:t xml:space="preserve"> </w:t>
      </w:r>
      <w:r w:rsidR="00026D14">
        <w:rPr>
          <w:noProof/>
        </w:rPr>
        <w:t>(</w:t>
      </w:r>
      <w:r w:rsidR="001D726F">
        <w:rPr>
          <w:noProof/>
        </w:rPr>
        <w:t>2016)</w:t>
      </w:r>
      <w:r w:rsidR="001D726F">
        <w:fldChar w:fldCharType="end"/>
      </w:r>
      <w:r w:rsidR="001D726F">
        <w:t xml:space="preserve"> </w:t>
      </w:r>
      <w:r w:rsidR="001D5D36">
        <w:t>a</w:t>
      </w:r>
      <w:r w:rsidR="00026D14">
        <w:t xml:space="preserve"> montré</w:t>
      </w:r>
      <w:r w:rsidR="001D726F">
        <w:t xml:space="preserve"> que les </w:t>
      </w:r>
      <w:proofErr w:type="spellStart"/>
      <w:r w:rsidR="001D726F">
        <w:t>CC</w:t>
      </w:r>
      <w:r w:rsidR="00026D14">
        <w:t>s</w:t>
      </w:r>
      <w:proofErr w:type="spellEnd"/>
      <w:r w:rsidR="00026D14">
        <w:t xml:space="preserve"> </w:t>
      </w:r>
      <w:r w:rsidR="001D726F">
        <w:t xml:space="preserve">1 et 6 de </w:t>
      </w:r>
      <w:r w:rsidR="001D726F" w:rsidRPr="00383319">
        <w:rPr>
          <w:i/>
        </w:rPr>
        <w:t xml:space="preserve">L. </w:t>
      </w:r>
      <w:proofErr w:type="spellStart"/>
      <w:r w:rsidR="001D726F" w:rsidRPr="00383319">
        <w:rPr>
          <w:i/>
        </w:rPr>
        <w:t>monocytogenes</w:t>
      </w:r>
      <w:proofErr w:type="spellEnd"/>
      <w:r w:rsidR="001D726F" w:rsidRPr="00383319">
        <w:rPr>
          <w:i/>
        </w:rPr>
        <w:t xml:space="preserve"> </w:t>
      </w:r>
      <w:r w:rsidR="001D726F">
        <w:t xml:space="preserve">présentaient une </w:t>
      </w:r>
      <w:proofErr w:type="spellStart"/>
      <w:r w:rsidR="001D726F">
        <w:t>hypervirulence</w:t>
      </w:r>
      <w:proofErr w:type="spellEnd"/>
      <w:r w:rsidR="00026D14">
        <w:t xml:space="preserve"> dans leur étude</w:t>
      </w:r>
      <w:r w:rsidR="001D726F">
        <w:t>. Dans notre étude</w:t>
      </w:r>
      <w:r w:rsidR="00026D14">
        <w:t>,</w:t>
      </w:r>
      <w:r w:rsidR="001D726F">
        <w:t xml:space="preserve"> 8 souches de</w:t>
      </w:r>
      <w:r w:rsidR="001D726F" w:rsidRPr="00383319">
        <w:rPr>
          <w:i/>
        </w:rPr>
        <w:t xml:space="preserve"> L. </w:t>
      </w:r>
      <w:proofErr w:type="spellStart"/>
      <w:r w:rsidR="001D726F" w:rsidRPr="00383319">
        <w:rPr>
          <w:i/>
        </w:rPr>
        <w:t>monocytogenes</w:t>
      </w:r>
      <w:proofErr w:type="spellEnd"/>
      <w:r w:rsidR="001D726F" w:rsidRPr="00383319">
        <w:rPr>
          <w:i/>
        </w:rPr>
        <w:t xml:space="preserve"> </w:t>
      </w:r>
      <w:r w:rsidR="001D726F">
        <w:t xml:space="preserve">provenant de ces </w:t>
      </w:r>
      <w:proofErr w:type="spellStart"/>
      <w:r w:rsidR="001D726F">
        <w:t>CC</w:t>
      </w:r>
      <w:r w:rsidR="00026D14">
        <w:t>s</w:t>
      </w:r>
      <w:proofErr w:type="spellEnd"/>
      <w:r w:rsidR="001D726F">
        <w:t xml:space="preserve"> </w:t>
      </w:r>
      <w:proofErr w:type="spellStart"/>
      <w:r w:rsidR="001D726F">
        <w:t>hypervirulent</w:t>
      </w:r>
      <w:r w:rsidR="00026D14">
        <w:t>s</w:t>
      </w:r>
      <w:proofErr w:type="spellEnd"/>
      <w:r w:rsidR="00026D14">
        <w:t xml:space="preserve"> ont été identifiés</w:t>
      </w:r>
      <w:r w:rsidR="001D726F">
        <w:t xml:space="preserve"> (4 de chaque). </w:t>
      </w:r>
      <w:r w:rsidR="00FA4678">
        <w:t xml:space="preserve">Le lien entre la génétique d’une souche et la virulence n’est pas toujours avéré comme cela a été démontré par Roche et al. (2009). En effet, ils ont travaillé sur la souche A23 qui avait plusieurs mutations comme le groupe III des </w:t>
      </w:r>
      <w:r w:rsidR="00B42820">
        <w:t>souches</w:t>
      </w:r>
      <w:r w:rsidR="00FA4678">
        <w:t xml:space="preserve"> et en plus sur le gène </w:t>
      </w:r>
      <w:proofErr w:type="spellStart"/>
      <w:r w:rsidR="00FA4678" w:rsidRPr="00B42820">
        <w:rPr>
          <w:i/>
        </w:rPr>
        <w:t>mpl</w:t>
      </w:r>
      <w:proofErr w:type="spellEnd"/>
      <w:r w:rsidR="00FA4678">
        <w:t xml:space="preserve"> qui conduit à l’absence de l’expression de l’</w:t>
      </w:r>
      <w:proofErr w:type="spellStart"/>
      <w:r w:rsidR="00FA4678">
        <w:t>internaline</w:t>
      </w:r>
      <w:proofErr w:type="spellEnd"/>
      <w:r w:rsidR="00FA4678">
        <w:t xml:space="preserve"> A</w:t>
      </w:r>
      <w:r w:rsidR="00B42820">
        <w:t xml:space="preserve"> et la présence inactive de l’</w:t>
      </w:r>
      <w:proofErr w:type="spellStart"/>
      <w:r w:rsidR="00B42820">
        <w:t>internaline</w:t>
      </w:r>
      <w:proofErr w:type="spellEnd"/>
      <w:r w:rsidR="00B42820">
        <w:t xml:space="preserve"> B, </w:t>
      </w:r>
      <w:proofErr w:type="spellStart"/>
      <w:r w:rsidR="00B42820">
        <w:t>p</w:t>
      </w:r>
      <w:r w:rsidR="00B42820" w:rsidRPr="00B42820">
        <w:t>hosphatidyl</w:t>
      </w:r>
      <w:proofErr w:type="spellEnd"/>
      <w:r w:rsidR="00B42820" w:rsidRPr="00B42820">
        <w:t xml:space="preserve">-inositol phospholipase C, </w:t>
      </w:r>
      <w:r w:rsidR="00B42820">
        <w:t>et</w:t>
      </w:r>
      <w:r w:rsidR="00B42820" w:rsidRPr="00B42820">
        <w:t xml:space="preserve"> </w:t>
      </w:r>
      <w:proofErr w:type="spellStart"/>
      <w:r w:rsidR="00B42820" w:rsidRPr="00B42820">
        <w:t>phosphatidylcholine</w:t>
      </w:r>
      <w:proofErr w:type="spellEnd"/>
      <w:r w:rsidR="00B42820" w:rsidRPr="00B42820">
        <w:t xml:space="preserve"> phospholipase C</w:t>
      </w:r>
      <w:r w:rsidR="00B42820">
        <w:t xml:space="preserve">. Malgré les mutations sur les gènes majeurs dans le cycle infectieux, cette souche A23 a </w:t>
      </w:r>
      <w:r w:rsidR="00B42820">
        <w:lastRenderedPageBreak/>
        <w:t>formé des plages de lyse en culture cellulaire et a contaminé 100% des souris inoculées suggérant que celle-ci avait dû acquérir de nouveaux gènes de virulence.</w:t>
      </w:r>
    </w:p>
    <w:p w14:paraId="50F8700E" w14:textId="647D9868" w:rsidR="001D5D36" w:rsidRDefault="001D5D36" w:rsidP="00D7424E"/>
    <w:p w14:paraId="64378357" w14:textId="4CA9C682" w:rsidR="00CA6577" w:rsidRDefault="00F1500C" w:rsidP="00D7424E">
      <w:r>
        <w:t>Huit autre</w:t>
      </w:r>
      <w:r w:rsidR="00061634">
        <w:t>s</w:t>
      </w:r>
      <w:r>
        <w:t xml:space="preserve"> </w:t>
      </w:r>
      <w:proofErr w:type="spellStart"/>
      <w:r>
        <w:t>CCs</w:t>
      </w:r>
      <w:proofErr w:type="spellEnd"/>
      <w:r>
        <w:t xml:space="preserve"> ont été identifié</w:t>
      </w:r>
      <w:r w:rsidR="00061634">
        <w:t>s</w:t>
      </w:r>
      <w:r w:rsidR="007974F2">
        <w:t xml:space="preserve"> : CC3, CC5, CC7, CC20, CC31, CC37, CC54 et CC191. Pour les </w:t>
      </w:r>
      <w:r>
        <w:t xml:space="preserve">CC3, CC5, CC7, </w:t>
      </w:r>
      <w:r w:rsidR="00061634">
        <w:t>CC20, CC31 et CC37</w:t>
      </w:r>
      <w:r w:rsidR="00026D14">
        <w:t>,</w:t>
      </w:r>
      <w:r w:rsidR="00061634">
        <w:t xml:space="preserve"> </w:t>
      </w:r>
      <w:r>
        <w:t>nous n’avons pas trouvé de caractéristique</w:t>
      </w:r>
      <w:r w:rsidR="00026D14">
        <w:t>s</w:t>
      </w:r>
      <w:r>
        <w:t xml:space="preserve"> particulière</w:t>
      </w:r>
      <w:r w:rsidR="00026D14">
        <w:t>s</w:t>
      </w:r>
      <w:r>
        <w:t xml:space="preserve"> dans la bibliographie </w:t>
      </w:r>
      <w:r w:rsidR="00061634">
        <w:t xml:space="preserve">mais </w:t>
      </w:r>
      <w:r w:rsidR="00026D14">
        <w:t>ils</w:t>
      </w:r>
      <w:r w:rsidR="00061634">
        <w:t xml:space="preserve"> </w:t>
      </w:r>
      <w:r>
        <w:t>ont tous ét</w:t>
      </w:r>
      <w:r w:rsidR="00061634">
        <w:t>é</w:t>
      </w:r>
      <w:r>
        <w:t xml:space="preserve"> identifiés par </w:t>
      </w:r>
      <w:r>
        <w:fldChar w:fldCharType="begin"/>
      </w:r>
      <w:r>
        <w:instrText xml:space="preserve"> ADDIN EN.CITE &lt;EndNote&gt;&lt;Cite AuthorYear="1"&gt;&lt;Author&gt;Félix&lt;/Author&gt;&lt;Year&gt;2018&lt;/Year&gt;&lt;RecNum&gt;1260&lt;/RecNum&gt;&lt;DisplayText&gt;Félix&lt;style face="italic"&gt; et al.&lt;/style&gt; (2018)&lt;/DisplayText&gt;&lt;record&gt;&lt;rec-number&gt;1260&lt;/rec-number&gt;&lt;foreign-keys&gt;&lt;key app="EN" db-id="xrawss2d999aevez25svdvwj909sxsvw00x2" timestamp="1619187176"&gt;1260&lt;/key&gt;&lt;/foreign-keys&gt;&lt;ref-type name="Journal Article"&gt;17&lt;/ref-type&gt;&lt;contributors&gt;&lt;authors&gt;&lt;author&gt;Félix, Benjamin&lt;/author&gt;&lt;author&gt;Feurer, Carole&lt;/author&gt;&lt;author&gt;Maillet, Aurelien&lt;/author&gt;&lt;author&gt;Guillier, Laurent&lt;/author&gt;&lt;author&gt;Boscher, Evelyne&lt;/author&gt;&lt;author&gt;Kerouanton, Annaëlle&lt;/author&gt;&lt;author&gt;Denis, Martine&lt;/author&gt;&lt;author&gt;Roussel, Sophie&lt;/author&gt;&lt;/authors&gt;&lt;/contributors&gt;&lt;titles&gt;&lt;title&gt;Population genetic structure of Listeria monocytogenes strains isolated from the pig and pork production chain in France&lt;/title&gt;&lt;secondary-title&gt;Frontiers in microbiology&lt;/secondary-title&gt;&lt;/titles&gt;&lt;periodical&gt;&lt;full-title&gt;Front Microbiol&lt;/full-title&gt;&lt;abbr-1&gt;Frontiers in microbiology&lt;/abbr-1&gt;&lt;/periodical&gt;&lt;pages&gt;684&lt;/pages&gt;&lt;volume&gt;9&lt;/volume&gt;&lt;dates&gt;&lt;year&gt;2018&lt;/year&gt;&lt;/dates&gt;&lt;isbn&gt;1664-302X&lt;/isbn&gt;&lt;urls&gt;&lt;/urls&gt;&lt;/record&gt;&lt;/Cite&gt;&lt;/EndNote&gt;</w:instrText>
      </w:r>
      <w:r>
        <w:fldChar w:fldCharType="separate"/>
      </w:r>
      <w:r>
        <w:rPr>
          <w:noProof/>
        </w:rPr>
        <w:t>Félix</w:t>
      </w:r>
      <w:r w:rsidRPr="00F1500C">
        <w:rPr>
          <w:i/>
          <w:noProof/>
        </w:rPr>
        <w:t xml:space="preserve"> et al.</w:t>
      </w:r>
      <w:r>
        <w:rPr>
          <w:noProof/>
        </w:rPr>
        <w:t xml:space="preserve"> (2018)</w:t>
      </w:r>
      <w:r>
        <w:fldChar w:fldCharType="end"/>
      </w:r>
      <w:r>
        <w:t xml:space="preserve"> lors de </w:t>
      </w:r>
      <w:r w:rsidR="00061634">
        <w:t>l’évaluation</w:t>
      </w:r>
      <w:r>
        <w:t xml:space="preserve"> de la diversité génétique de 234 souches de </w:t>
      </w:r>
      <w:r w:rsidRPr="00F1500C">
        <w:rPr>
          <w:i/>
        </w:rPr>
        <w:t xml:space="preserve">L. </w:t>
      </w:r>
      <w:proofErr w:type="spellStart"/>
      <w:r w:rsidRPr="00F1500C">
        <w:rPr>
          <w:i/>
        </w:rPr>
        <w:t>monocytogenes</w:t>
      </w:r>
      <w:proofErr w:type="spellEnd"/>
      <w:r w:rsidR="00026D14">
        <w:t xml:space="preserve"> isolées dans</w:t>
      </w:r>
      <w:r>
        <w:t xml:space="preserve"> la filière des produit</w:t>
      </w:r>
      <w:r w:rsidR="00026D14">
        <w:t>s</w:t>
      </w:r>
      <w:r>
        <w:t xml:space="preserve"> de la pêche. </w:t>
      </w:r>
      <w:r w:rsidR="00061634">
        <w:t>Les</w:t>
      </w:r>
      <w:r>
        <w:t xml:space="preserve"> CC54 et CC191 n’ont jusqu’à maintenant jamais été décrit</w:t>
      </w:r>
      <w:r w:rsidR="00026D14">
        <w:t>s</w:t>
      </w:r>
      <w:r>
        <w:t xml:space="preserve"> dans la filière des produits de la pêche. </w:t>
      </w:r>
      <w:r w:rsidR="00CA6577">
        <w:fldChar w:fldCharType="begin"/>
      </w:r>
      <w:r w:rsidR="00CA6577">
        <w:instrText xml:space="preserve"> ADDIN EN.CITE &lt;EndNote&gt;&lt;Cite AuthorYear="1"&gt;&lt;Author&gt;Kortebi&lt;/Author&gt;&lt;Year&gt;2018&lt;/Year&gt;&lt;RecNum&gt;1275&lt;/RecNum&gt;&lt;DisplayText&gt;Kortebi (2018)&lt;/DisplayText&gt;&lt;record&gt;&lt;rec-number&gt;1275&lt;/rec-number&gt;&lt;foreign-keys&gt;&lt;key app="EN" db-id="xrawss2d999aevez25svdvwj909sxsvw00x2" timestamp="1619781633"&gt;1275&lt;/key&gt;&lt;/foreign-keys&gt;&lt;ref-type name="Thesis"&gt;32&lt;/ref-type&gt;&lt;contributors&gt;&lt;authors&gt;&lt;author&gt;Kortebi, Mounia&lt;/author&gt;&lt;/authors&gt;&lt;/contributors&gt;&lt;titles&gt;&lt;title&gt;Caractérisation d’une phase de persistance intracellulaire du pathogène Listeria monocytogenes&lt;/title&gt;&lt;/titles&gt;&lt;dates&gt;&lt;year&gt;2018&lt;/year&gt;&lt;/dates&gt;&lt;publisher&gt;Université Paris-Saclay (ComUE)&lt;/publisher&gt;&lt;urls&gt;&lt;/urls&gt;&lt;/record&gt;&lt;/Cite&gt;&lt;/EndNote&gt;</w:instrText>
      </w:r>
      <w:r w:rsidR="00CA6577">
        <w:fldChar w:fldCharType="separate"/>
      </w:r>
      <w:r w:rsidR="00CA6577">
        <w:rPr>
          <w:noProof/>
        </w:rPr>
        <w:t>Kortebi (2018)</w:t>
      </w:r>
      <w:r w:rsidR="00CA6577">
        <w:fldChar w:fldCharType="end"/>
      </w:r>
      <w:r w:rsidR="00CA6577">
        <w:t xml:space="preserve"> </w:t>
      </w:r>
      <w:r w:rsidR="00061634">
        <w:t>ont</w:t>
      </w:r>
      <w:r w:rsidR="00026D14">
        <w:t xml:space="preserve"> toute</w:t>
      </w:r>
      <w:r w:rsidR="00CA6577">
        <w:t>fois décrit deux souches de CC54 et CC191 respectivement isolé</w:t>
      </w:r>
      <w:r w:rsidR="00026D14">
        <w:t>es</w:t>
      </w:r>
      <w:r w:rsidR="00CA6577">
        <w:t xml:space="preserve"> de végétaux et d’</w:t>
      </w:r>
      <w:r w:rsidR="00026D14">
        <w:t>a</w:t>
      </w:r>
      <w:r w:rsidR="00CA6577">
        <w:t xml:space="preserve">liment prêt à </w:t>
      </w:r>
      <w:r w:rsidR="00026D14">
        <w:t>consomme</w:t>
      </w:r>
      <w:r w:rsidR="00CA6577">
        <w:t xml:space="preserve">r. </w:t>
      </w:r>
      <w:r w:rsidR="00CA6577">
        <w:fldChar w:fldCharType="begin"/>
      </w:r>
      <w:r w:rsidR="00CA6577">
        <w:instrText xml:space="preserve"> ADDIN EN.CITE &lt;EndNote&gt;&lt;Cite&gt;&lt;Author&gt;Hilliard&lt;/Author&gt;&lt;Year&gt;2018&lt;/Year&gt;&lt;RecNum&gt;1276&lt;/RecNum&gt;&lt;DisplayText&gt;(Hilliard&lt;style face="italic"&gt; et al.&lt;/style&gt;, 2018)&lt;/DisplayText&gt;&lt;record&gt;&lt;rec-number&gt;1276&lt;/rec-number&gt;&lt;foreign-keys&gt;&lt;key app="EN" db-id="xrawss2d999aevez25svdvwj909sxsvw00x2" timestamp="1619781718"&gt;1276&lt;/key&gt;&lt;/foreign-keys&gt;&lt;ref-type name="Journal Article"&gt;17&lt;/ref-type&gt;&lt;contributors&gt;&lt;authors&gt;&lt;author&gt;Hilliard, Amber&lt;/author&gt;&lt;author&gt;Leong, Dara&lt;/author&gt;&lt;author&gt;O’Callaghan, Amy&lt;/author&gt;&lt;author&gt;Culligan, Eamonn P&lt;/author&gt;&lt;author&gt;Morgan, Ciara A&lt;/author&gt;&lt;author&gt;DeLappe, Niall&lt;/author&gt;&lt;author&gt;Hill, Colin&lt;/author&gt;&lt;author&gt;Jordan, Kieran&lt;/author&gt;&lt;author&gt;Cormican, Martin&lt;/author&gt;&lt;author&gt;Gahan, Cormac GM&lt;/author&gt;&lt;/authors&gt;&lt;/contributors&gt;&lt;titles&gt;&lt;title&gt;Genomic characterization of Listeria monocytogenes isolates associated with clinical listeriosis and the food production environment in Ireland&lt;/title&gt;&lt;secondary-title&gt;Genes&lt;/secondary-title&gt;&lt;/titles&gt;&lt;periodical&gt;&lt;full-title&gt;Genes&lt;/full-title&gt;&lt;/periodical&gt;&lt;pages&gt;171&lt;/pages&gt;&lt;volume&gt;9&lt;/volume&gt;&lt;number&gt;3&lt;/number&gt;&lt;dates&gt;&lt;year&gt;2018&lt;/year&gt;&lt;/dates&gt;&lt;urls&gt;&lt;/urls&gt;&lt;/record&gt;&lt;/Cite&gt;&lt;/EndNote&gt;</w:instrText>
      </w:r>
      <w:r w:rsidR="00CA6577">
        <w:fldChar w:fldCharType="separate"/>
      </w:r>
      <w:r w:rsidR="00CA6577">
        <w:rPr>
          <w:noProof/>
        </w:rPr>
        <w:t>Hilliard</w:t>
      </w:r>
      <w:r w:rsidR="00CA6577" w:rsidRPr="00CA6577">
        <w:rPr>
          <w:i/>
          <w:noProof/>
        </w:rPr>
        <w:t xml:space="preserve"> et al.</w:t>
      </w:r>
      <w:r w:rsidR="00CA6577">
        <w:rPr>
          <w:noProof/>
        </w:rPr>
        <w:t xml:space="preserve"> </w:t>
      </w:r>
      <w:r w:rsidR="00026D14">
        <w:rPr>
          <w:noProof/>
        </w:rPr>
        <w:t>(</w:t>
      </w:r>
      <w:r w:rsidR="00CA6577">
        <w:rPr>
          <w:noProof/>
        </w:rPr>
        <w:t>2018)</w:t>
      </w:r>
      <w:r w:rsidR="00CA6577">
        <w:fldChar w:fldCharType="end"/>
      </w:r>
      <w:r w:rsidR="00CA6577">
        <w:t xml:space="preserve"> </w:t>
      </w:r>
      <w:r w:rsidR="00631F94">
        <w:t xml:space="preserve">a </w:t>
      </w:r>
      <w:r w:rsidR="00CA6577">
        <w:t xml:space="preserve">confirmé </w:t>
      </w:r>
      <w:r w:rsidR="00631F94">
        <w:t xml:space="preserve">que le CC54 pouvait être isolé de source alimentaire (1 souche) mais également de source clinique (2 souches). </w:t>
      </w:r>
    </w:p>
    <w:p w14:paraId="34F6496C" w14:textId="6411DC2A" w:rsidR="000F6654" w:rsidRDefault="000F6654" w:rsidP="00D7424E"/>
    <w:p w14:paraId="5FFE2834" w14:textId="1C386F3D" w:rsidR="000521DF" w:rsidRDefault="000521DF" w:rsidP="000521DF">
      <w:pPr>
        <w:pStyle w:val="Lgende"/>
        <w:rPr>
          <w:iCs/>
          <w:color w:val="000000"/>
        </w:rPr>
      </w:pPr>
      <w:bookmarkStart w:id="41" w:name="_Ref70485467"/>
      <w:bookmarkStart w:id="42" w:name="_Toc70681277"/>
      <w:bookmarkStart w:id="43" w:name="_Toc73027712"/>
      <w:r>
        <w:t xml:space="preserve">Tableau </w:t>
      </w:r>
      <w:r w:rsidR="00657B21">
        <w:fldChar w:fldCharType="begin"/>
      </w:r>
      <w:r w:rsidR="00657B21">
        <w:instrText xml:space="preserve"> SEQ Tableau \* ARABIC </w:instrText>
      </w:r>
      <w:r w:rsidR="00657B21">
        <w:fldChar w:fldCharType="separate"/>
      </w:r>
      <w:r w:rsidR="003E5038">
        <w:rPr>
          <w:noProof/>
        </w:rPr>
        <w:t>2</w:t>
      </w:r>
      <w:r w:rsidR="00657B21">
        <w:rPr>
          <w:noProof/>
        </w:rPr>
        <w:fldChar w:fldCharType="end"/>
      </w:r>
      <w:bookmarkEnd w:id="41"/>
      <w:r>
        <w:t> : D</w:t>
      </w:r>
      <w:r w:rsidRPr="003E6FE2">
        <w:t>iversité génétique</w:t>
      </w:r>
      <w:r>
        <w:t xml:space="preserve"> des souches de </w:t>
      </w:r>
      <w:r w:rsidRPr="00CC7A70">
        <w:rPr>
          <w:i/>
        </w:rPr>
        <w:t xml:space="preserve">L. </w:t>
      </w:r>
      <w:proofErr w:type="spellStart"/>
      <w:r w:rsidRPr="00CC7A70">
        <w:rPr>
          <w:i/>
        </w:rPr>
        <w:t>monocytogenes</w:t>
      </w:r>
      <w:proofErr w:type="spellEnd"/>
      <w:r w:rsidRPr="003E6FE2">
        <w:t xml:space="preserve"> </w:t>
      </w:r>
      <w:bookmarkEnd w:id="42"/>
      <w:r w:rsidR="00026D14">
        <w:t>sélectionnées</w:t>
      </w:r>
      <w:bookmarkEnd w:id="43"/>
    </w:p>
    <w:tbl>
      <w:tblPr>
        <w:tblW w:w="9739" w:type="dxa"/>
        <w:tblCellMar>
          <w:left w:w="70" w:type="dxa"/>
          <w:right w:w="70" w:type="dxa"/>
        </w:tblCellMar>
        <w:tblLook w:val="04A0" w:firstRow="1" w:lastRow="0" w:firstColumn="1" w:lastColumn="0" w:noHBand="0" w:noVBand="1"/>
      </w:tblPr>
      <w:tblGrid>
        <w:gridCol w:w="2175"/>
        <w:gridCol w:w="2378"/>
        <w:gridCol w:w="1999"/>
        <w:gridCol w:w="3187"/>
      </w:tblGrid>
      <w:tr w:rsidR="00E1488E" w:rsidRPr="00E1488E" w14:paraId="1D0A148F" w14:textId="77777777" w:rsidTr="00E1488E">
        <w:trPr>
          <w:trHeight w:val="743"/>
        </w:trPr>
        <w:tc>
          <w:tcPr>
            <w:tcW w:w="2175"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4ADF013E"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Technique d'identification des CC</w:t>
            </w:r>
          </w:p>
        </w:tc>
        <w:tc>
          <w:tcPr>
            <w:tcW w:w="2378" w:type="dxa"/>
            <w:tcBorders>
              <w:top w:val="single" w:sz="4" w:space="0" w:color="auto"/>
              <w:left w:val="nil"/>
              <w:bottom w:val="single" w:sz="4" w:space="0" w:color="auto"/>
              <w:right w:val="single" w:sz="4" w:space="0" w:color="auto"/>
            </w:tcBorders>
            <w:shd w:val="clear" w:color="000000" w:fill="A6A6A6"/>
            <w:vAlign w:val="center"/>
            <w:hideMark/>
          </w:tcPr>
          <w:p w14:paraId="683F851B" w14:textId="77777777" w:rsidR="00E1488E" w:rsidRPr="00E1488E" w:rsidRDefault="00E1488E" w:rsidP="00E1488E">
            <w:pPr>
              <w:spacing w:line="240" w:lineRule="auto"/>
              <w:jc w:val="center"/>
              <w:rPr>
                <w:rFonts w:ascii="Calibri" w:hAnsi="Calibri" w:cs="Calibri"/>
                <w:b/>
                <w:bCs/>
                <w:color w:val="000000"/>
              </w:rPr>
            </w:pPr>
            <w:proofErr w:type="spellStart"/>
            <w:r w:rsidRPr="00E1488E">
              <w:rPr>
                <w:rFonts w:ascii="Calibri" w:hAnsi="Calibri" w:cs="Calibri"/>
                <w:b/>
                <w:bCs/>
                <w:color w:val="000000"/>
              </w:rPr>
              <w:t>Pulsotype</w:t>
            </w:r>
            <w:proofErr w:type="spellEnd"/>
            <w:r w:rsidRPr="00E1488E">
              <w:rPr>
                <w:rFonts w:ascii="Calibri" w:hAnsi="Calibri" w:cs="Calibri"/>
                <w:b/>
                <w:bCs/>
                <w:color w:val="000000"/>
              </w:rPr>
              <w:t xml:space="preserve"> (PFGE)</w:t>
            </w:r>
          </w:p>
        </w:tc>
        <w:tc>
          <w:tcPr>
            <w:tcW w:w="1998" w:type="dxa"/>
            <w:tcBorders>
              <w:top w:val="single" w:sz="4" w:space="0" w:color="auto"/>
              <w:left w:val="nil"/>
              <w:bottom w:val="single" w:sz="4" w:space="0" w:color="auto"/>
              <w:right w:val="single" w:sz="4" w:space="0" w:color="auto"/>
            </w:tcBorders>
            <w:shd w:val="clear" w:color="000000" w:fill="A6A6A6"/>
            <w:vAlign w:val="center"/>
            <w:hideMark/>
          </w:tcPr>
          <w:p w14:paraId="67E257FD" w14:textId="21122DD8" w:rsidR="00E1488E" w:rsidRPr="00E1488E" w:rsidRDefault="00026D14" w:rsidP="00E1488E">
            <w:pPr>
              <w:spacing w:line="240" w:lineRule="auto"/>
              <w:jc w:val="center"/>
              <w:rPr>
                <w:rFonts w:ascii="Calibri" w:hAnsi="Calibri" w:cs="Calibri"/>
                <w:b/>
                <w:bCs/>
                <w:color w:val="000000"/>
              </w:rPr>
            </w:pPr>
            <w:r>
              <w:rPr>
                <w:rFonts w:ascii="Calibri" w:hAnsi="Calibri" w:cs="Calibri"/>
                <w:b/>
                <w:bCs/>
                <w:color w:val="000000"/>
              </w:rPr>
              <w:t>Complexe clonal (CC)</w:t>
            </w:r>
          </w:p>
        </w:tc>
        <w:tc>
          <w:tcPr>
            <w:tcW w:w="3187" w:type="dxa"/>
            <w:tcBorders>
              <w:top w:val="single" w:sz="4" w:space="0" w:color="auto"/>
              <w:left w:val="nil"/>
              <w:bottom w:val="single" w:sz="4" w:space="0" w:color="auto"/>
              <w:right w:val="single" w:sz="4" w:space="0" w:color="auto"/>
            </w:tcBorders>
            <w:shd w:val="clear" w:color="000000" w:fill="A6A6A6"/>
            <w:vAlign w:val="center"/>
            <w:hideMark/>
          </w:tcPr>
          <w:p w14:paraId="7156766D" w14:textId="51296B49"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Nombre de souche</w:t>
            </w:r>
            <w:r w:rsidR="00026D14">
              <w:rPr>
                <w:rFonts w:ascii="Calibri" w:hAnsi="Calibri" w:cs="Calibri"/>
                <w:b/>
                <w:bCs/>
                <w:color w:val="000000"/>
              </w:rPr>
              <w:t>s</w:t>
            </w:r>
          </w:p>
        </w:tc>
      </w:tr>
      <w:tr w:rsidR="00E1488E" w:rsidRPr="00E1488E" w14:paraId="1EDD288B" w14:textId="77777777" w:rsidTr="00E1488E">
        <w:trPr>
          <w:trHeight w:val="247"/>
        </w:trPr>
        <w:tc>
          <w:tcPr>
            <w:tcW w:w="2175" w:type="dxa"/>
            <w:vMerge w:val="restart"/>
            <w:tcBorders>
              <w:top w:val="nil"/>
              <w:left w:val="single" w:sz="4" w:space="0" w:color="auto"/>
              <w:bottom w:val="single" w:sz="4" w:space="0" w:color="000000"/>
              <w:right w:val="single" w:sz="4" w:space="0" w:color="auto"/>
            </w:tcBorders>
            <w:shd w:val="clear" w:color="000000" w:fill="BFBFBF"/>
            <w:noWrap/>
            <w:vAlign w:val="center"/>
            <w:hideMark/>
          </w:tcPr>
          <w:p w14:paraId="26C3673A" w14:textId="2999C0B5" w:rsidR="00E1488E" w:rsidRPr="00E1488E" w:rsidRDefault="00E1488E" w:rsidP="00E1488E">
            <w:pPr>
              <w:spacing w:line="240" w:lineRule="auto"/>
              <w:jc w:val="center"/>
              <w:rPr>
                <w:rFonts w:ascii="Calibri" w:hAnsi="Calibri" w:cs="Calibri"/>
                <w:color w:val="000000"/>
                <w:sz w:val="22"/>
                <w:szCs w:val="22"/>
              </w:rPr>
            </w:pPr>
            <w:r w:rsidRPr="00E1488E">
              <w:rPr>
                <w:rFonts w:ascii="Calibri" w:hAnsi="Calibri" w:cs="Calibri"/>
                <w:color w:val="000000"/>
                <w:sz w:val="22"/>
                <w:szCs w:val="22"/>
              </w:rPr>
              <w:t>MAPPING</w:t>
            </w:r>
            <w:r w:rsidR="00026D14">
              <w:rPr>
                <w:rFonts w:ascii="Calibri" w:hAnsi="Calibri" w:cs="Calibri"/>
                <w:color w:val="000000"/>
                <w:sz w:val="22"/>
                <w:szCs w:val="22"/>
              </w:rPr>
              <w:t xml:space="preserve"> PFGE</w:t>
            </w:r>
          </w:p>
        </w:tc>
        <w:tc>
          <w:tcPr>
            <w:tcW w:w="2378" w:type="dxa"/>
            <w:tcBorders>
              <w:top w:val="nil"/>
              <w:left w:val="nil"/>
              <w:bottom w:val="single" w:sz="4" w:space="0" w:color="auto"/>
              <w:right w:val="single" w:sz="4" w:space="0" w:color="auto"/>
            </w:tcBorders>
            <w:shd w:val="clear" w:color="000000" w:fill="FFFFFF"/>
            <w:vAlign w:val="center"/>
            <w:hideMark/>
          </w:tcPr>
          <w:p w14:paraId="315BD52B"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141</w:t>
            </w:r>
          </w:p>
        </w:tc>
        <w:tc>
          <w:tcPr>
            <w:tcW w:w="1998" w:type="dxa"/>
            <w:tcBorders>
              <w:top w:val="nil"/>
              <w:left w:val="nil"/>
              <w:bottom w:val="single" w:sz="4" w:space="0" w:color="auto"/>
              <w:right w:val="single" w:sz="4" w:space="0" w:color="auto"/>
            </w:tcBorders>
            <w:shd w:val="clear" w:color="000000" w:fill="FFFFFF"/>
            <w:vAlign w:val="center"/>
            <w:hideMark/>
          </w:tcPr>
          <w:p w14:paraId="2B0D95D5"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CC1</w:t>
            </w:r>
          </w:p>
        </w:tc>
        <w:tc>
          <w:tcPr>
            <w:tcW w:w="3187" w:type="dxa"/>
            <w:tcBorders>
              <w:top w:val="nil"/>
              <w:left w:val="nil"/>
              <w:bottom w:val="single" w:sz="4" w:space="0" w:color="auto"/>
              <w:right w:val="single" w:sz="4" w:space="0" w:color="auto"/>
            </w:tcBorders>
            <w:shd w:val="clear" w:color="000000" w:fill="FFFFFF"/>
            <w:vAlign w:val="center"/>
            <w:hideMark/>
          </w:tcPr>
          <w:p w14:paraId="4339E398"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4</w:t>
            </w:r>
          </w:p>
        </w:tc>
      </w:tr>
      <w:tr w:rsidR="00E1488E" w:rsidRPr="00E1488E" w14:paraId="2EC9BE4F"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25692CAC"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4EE38399"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12</w:t>
            </w:r>
          </w:p>
        </w:tc>
        <w:tc>
          <w:tcPr>
            <w:tcW w:w="19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3C5881"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CC3</w:t>
            </w:r>
          </w:p>
        </w:tc>
        <w:tc>
          <w:tcPr>
            <w:tcW w:w="31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1C111F"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5</w:t>
            </w:r>
          </w:p>
        </w:tc>
      </w:tr>
      <w:tr w:rsidR="00E1488E" w:rsidRPr="00E1488E" w14:paraId="22729215"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0C96B3D8"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0C7E2277"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13</w:t>
            </w:r>
          </w:p>
        </w:tc>
        <w:tc>
          <w:tcPr>
            <w:tcW w:w="1998" w:type="dxa"/>
            <w:vMerge/>
            <w:tcBorders>
              <w:top w:val="nil"/>
              <w:left w:val="single" w:sz="4" w:space="0" w:color="auto"/>
              <w:bottom w:val="single" w:sz="4" w:space="0" w:color="auto"/>
              <w:right w:val="single" w:sz="4" w:space="0" w:color="auto"/>
            </w:tcBorders>
            <w:vAlign w:val="center"/>
            <w:hideMark/>
          </w:tcPr>
          <w:p w14:paraId="5DFCDD29" w14:textId="77777777" w:rsidR="00E1488E" w:rsidRPr="00E1488E" w:rsidRDefault="00E1488E" w:rsidP="00E1488E">
            <w:pPr>
              <w:spacing w:line="240" w:lineRule="auto"/>
              <w:jc w:val="left"/>
              <w:rPr>
                <w:rFonts w:ascii="Calibri" w:hAnsi="Calibri" w:cs="Calibri"/>
                <w:b/>
                <w:bCs/>
                <w:color w:val="000000"/>
              </w:rPr>
            </w:pPr>
          </w:p>
        </w:tc>
        <w:tc>
          <w:tcPr>
            <w:tcW w:w="3187" w:type="dxa"/>
            <w:vMerge/>
            <w:tcBorders>
              <w:top w:val="nil"/>
              <w:left w:val="single" w:sz="4" w:space="0" w:color="auto"/>
              <w:bottom w:val="single" w:sz="4" w:space="0" w:color="auto"/>
              <w:right w:val="single" w:sz="4" w:space="0" w:color="auto"/>
            </w:tcBorders>
            <w:vAlign w:val="center"/>
            <w:hideMark/>
          </w:tcPr>
          <w:p w14:paraId="48BD54FF" w14:textId="77777777" w:rsidR="00E1488E" w:rsidRPr="00E1488E" w:rsidRDefault="00E1488E" w:rsidP="00E1488E">
            <w:pPr>
              <w:spacing w:line="240" w:lineRule="auto"/>
              <w:jc w:val="left"/>
              <w:rPr>
                <w:rFonts w:ascii="Calibri" w:hAnsi="Calibri" w:cs="Calibri"/>
                <w:b/>
                <w:bCs/>
                <w:color w:val="000000"/>
              </w:rPr>
            </w:pPr>
          </w:p>
        </w:tc>
      </w:tr>
      <w:tr w:rsidR="00E1488E" w:rsidRPr="00E1488E" w14:paraId="3E9CA4F2"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205AE222"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59A1F629"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142</w:t>
            </w:r>
          </w:p>
        </w:tc>
        <w:tc>
          <w:tcPr>
            <w:tcW w:w="19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6D6B7F"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CC5</w:t>
            </w:r>
          </w:p>
        </w:tc>
        <w:tc>
          <w:tcPr>
            <w:tcW w:w="31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C1B07E"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5</w:t>
            </w:r>
          </w:p>
        </w:tc>
      </w:tr>
      <w:tr w:rsidR="00E1488E" w:rsidRPr="00E1488E" w14:paraId="3899BE8D"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1A70A338"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6E3263DF"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3</w:t>
            </w:r>
          </w:p>
        </w:tc>
        <w:tc>
          <w:tcPr>
            <w:tcW w:w="1998" w:type="dxa"/>
            <w:vMerge/>
            <w:tcBorders>
              <w:top w:val="nil"/>
              <w:left w:val="single" w:sz="4" w:space="0" w:color="auto"/>
              <w:bottom w:val="single" w:sz="4" w:space="0" w:color="auto"/>
              <w:right w:val="single" w:sz="4" w:space="0" w:color="auto"/>
            </w:tcBorders>
            <w:vAlign w:val="center"/>
            <w:hideMark/>
          </w:tcPr>
          <w:p w14:paraId="1E2E5B9F" w14:textId="77777777" w:rsidR="00E1488E" w:rsidRPr="00E1488E" w:rsidRDefault="00E1488E" w:rsidP="00E1488E">
            <w:pPr>
              <w:spacing w:line="240" w:lineRule="auto"/>
              <w:jc w:val="left"/>
              <w:rPr>
                <w:rFonts w:ascii="Calibri" w:hAnsi="Calibri" w:cs="Calibri"/>
                <w:b/>
                <w:bCs/>
                <w:color w:val="000000"/>
              </w:rPr>
            </w:pPr>
          </w:p>
        </w:tc>
        <w:tc>
          <w:tcPr>
            <w:tcW w:w="3187" w:type="dxa"/>
            <w:vMerge/>
            <w:tcBorders>
              <w:top w:val="nil"/>
              <w:left w:val="single" w:sz="4" w:space="0" w:color="auto"/>
              <w:bottom w:val="single" w:sz="4" w:space="0" w:color="auto"/>
              <w:right w:val="single" w:sz="4" w:space="0" w:color="auto"/>
            </w:tcBorders>
            <w:vAlign w:val="center"/>
            <w:hideMark/>
          </w:tcPr>
          <w:p w14:paraId="737DB51B" w14:textId="77777777" w:rsidR="00E1488E" w:rsidRPr="00E1488E" w:rsidRDefault="00E1488E" w:rsidP="00E1488E">
            <w:pPr>
              <w:spacing w:line="240" w:lineRule="auto"/>
              <w:jc w:val="left"/>
              <w:rPr>
                <w:rFonts w:ascii="Calibri" w:hAnsi="Calibri" w:cs="Calibri"/>
                <w:b/>
                <w:bCs/>
                <w:color w:val="000000"/>
              </w:rPr>
            </w:pPr>
          </w:p>
        </w:tc>
      </w:tr>
      <w:tr w:rsidR="00E1488E" w:rsidRPr="00E1488E" w14:paraId="260D065C"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7D2FF6DE"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341EA613"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144</w:t>
            </w:r>
          </w:p>
        </w:tc>
        <w:tc>
          <w:tcPr>
            <w:tcW w:w="1998" w:type="dxa"/>
            <w:tcBorders>
              <w:top w:val="nil"/>
              <w:left w:val="nil"/>
              <w:bottom w:val="single" w:sz="4" w:space="0" w:color="auto"/>
              <w:right w:val="single" w:sz="4" w:space="0" w:color="auto"/>
            </w:tcBorders>
            <w:shd w:val="clear" w:color="000000" w:fill="FFFFFF"/>
            <w:vAlign w:val="center"/>
            <w:hideMark/>
          </w:tcPr>
          <w:p w14:paraId="16D5F175"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CC6</w:t>
            </w:r>
          </w:p>
        </w:tc>
        <w:tc>
          <w:tcPr>
            <w:tcW w:w="3187" w:type="dxa"/>
            <w:tcBorders>
              <w:top w:val="nil"/>
              <w:left w:val="nil"/>
              <w:bottom w:val="single" w:sz="4" w:space="0" w:color="auto"/>
              <w:right w:val="single" w:sz="4" w:space="0" w:color="auto"/>
            </w:tcBorders>
            <w:shd w:val="clear" w:color="000000" w:fill="FFFFFF"/>
            <w:vAlign w:val="center"/>
            <w:hideMark/>
          </w:tcPr>
          <w:p w14:paraId="289CE514"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4</w:t>
            </w:r>
          </w:p>
        </w:tc>
      </w:tr>
      <w:tr w:rsidR="00E1488E" w:rsidRPr="00E1488E" w14:paraId="403B12AE"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5CB9C5F2"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5DEBBC8A"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5</w:t>
            </w:r>
          </w:p>
        </w:tc>
        <w:tc>
          <w:tcPr>
            <w:tcW w:w="1998" w:type="dxa"/>
            <w:tcBorders>
              <w:top w:val="nil"/>
              <w:left w:val="nil"/>
              <w:bottom w:val="single" w:sz="4" w:space="0" w:color="auto"/>
              <w:right w:val="single" w:sz="4" w:space="0" w:color="auto"/>
            </w:tcBorders>
            <w:shd w:val="clear" w:color="000000" w:fill="FFFFFF"/>
            <w:vAlign w:val="center"/>
            <w:hideMark/>
          </w:tcPr>
          <w:p w14:paraId="37ACDBFD"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CC7</w:t>
            </w:r>
          </w:p>
        </w:tc>
        <w:tc>
          <w:tcPr>
            <w:tcW w:w="3187" w:type="dxa"/>
            <w:tcBorders>
              <w:top w:val="nil"/>
              <w:left w:val="nil"/>
              <w:bottom w:val="single" w:sz="4" w:space="0" w:color="auto"/>
              <w:right w:val="single" w:sz="4" w:space="0" w:color="auto"/>
            </w:tcBorders>
            <w:shd w:val="clear" w:color="000000" w:fill="FFFFFF"/>
            <w:vAlign w:val="center"/>
            <w:hideMark/>
          </w:tcPr>
          <w:p w14:paraId="7D805B4A"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6</w:t>
            </w:r>
          </w:p>
        </w:tc>
      </w:tr>
      <w:tr w:rsidR="00E1488E" w:rsidRPr="00E1488E" w14:paraId="7D94AE9A"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35486D29"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36909077"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78</w:t>
            </w:r>
          </w:p>
        </w:tc>
        <w:tc>
          <w:tcPr>
            <w:tcW w:w="1998" w:type="dxa"/>
            <w:tcBorders>
              <w:top w:val="nil"/>
              <w:left w:val="nil"/>
              <w:bottom w:val="single" w:sz="4" w:space="0" w:color="auto"/>
              <w:right w:val="single" w:sz="4" w:space="0" w:color="auto"/>
            </w:tcBorders>
            <w:shd w:val="clear" w:color="000000" w:fill="FFFFFF"/>
            <w:vAlign w:val="center"/>
            <w:hideMark/>
          </w:tcPr>
          <w:p w14:paraId="63030583"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CC9</w:t>
            </w:r>
          </w:p>
        </w:tc>
        <w:tc>
          <w:tcPr>
            <w:tcW w:w="3187" w:type="dxa"/>
            <w:tcBorders>
              <w:top w:val="nil"/>
              <w:left w:val="nil"/>
              <w:bottom w:val="single" w:sz="4" w:space="0" w:color="auto"/>
              <w:right w:val="single" w:sz="4" w:space="0" w:color="auto"/>
            </w:tcBorders>
            <w:shd w:val="clear" w:color="000000" w:fill="FFFFFF"/>
            <w:vAlign w:val="center"/>
            <w:hideMark/>
          </w:tcPr>
          <w:p w14:paraId="05F75C18"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9</w:t>
            </w:r>
          </w:p>
        </w:tc>
      </w:tr>
      <w:tr w:rsidR="00E1488E" w:rsidRPr="00E1488E" w14:paraId="0EC81F7F"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4BFB3864"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7FAF2446"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15</w:t>
            </w:r>
          </w:p>
        </w:tc>
        <w:tc>
          <w:tcPr>
            <w:tcW w:w="1998" w:type="dxa"/>
            <w:tcBorders>
              <w:top w:val="nil"/>
              <w:left w:val="nil"/>
              <w:bottom w:val="single" w:sz="4" w:space="0" w:color="auto"/>
              <w:right w:val="single" w:sz="4" w:space="0" w:color="auto"/>
            </w:tcBorders>
            <w:shd w:val="clear" w:color="000000" w:fill="FFFFFF"/>
            <w:vAlign w:val="center"/>
            <w:hideMark/>
          </w:tcPr>
          <w:p w14:paraId="7D0F8A5C"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CC20</w:t>
            </w:r>
          </w:p>
        </w:tc>
        <w:tc>
          <w:tcPr>
            <w:tcW w:w="3187" w:type="dxa"/>
            <w:tcBorders>
              <w:top w:val="nil"/>
              <w:left w:val="nil"/>
              <w:bottom w:val="single" w:sz="4" w:space="0" w:color="auto"/>
              <w:right w:val="single" w:sz="4" w:space="0" w:color="auto"/>
            </w:tcBorders>
            <w:shd w:val="clear" w:color="000000" w:fill="FFFFFF"/>
            <w:vAlign w:val="center"/>
            <w:hideMark/>
          </w:tcPr>
          <w:p w14:paraId="583BF237"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w:t>
            </w:r>
          </w:p>
        </w:tc>
      </w:tr>
      <w:tr w:rsidR="00E1488E" w:rsidRPr="00E1488E" w14:paraId="7AC75B5E"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2E6CF3C0"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24CFD176"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133</w:t>
            </w:r>
          </w:p>
        </w:tc>
        <w:tc>
          <w:tcPr>
            <w:tcW w:w="19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A364FF"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CC37</w:t>
            </w:r>
          </w:p>
        </w:tc>
        <w:tc>
          <w:tcPr>
            <w:tcW w:w="31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666F44"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4</w:t>
            </w:r>
          </w:p>
        </w:tc>
      </w:tr>
      <w:tr w:rsidR="00E1488E" w:rsidRPr="00E1488E" w14:paraId="1FD05E9B"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4D0912EB"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70279F41"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91</w:t>
            </w:r>
          </w:p>
        </w:tc>
        <w:tc>
          <w:tcPr>
            <w:tcW w:w="1998" w:type="dxa"/>
            <w:vMerge/>
            <w:tcBorders>
              <w:top w:val="nil"/>
              <w:left w:val="single" w:sz="4" w:space="0" w:color="auto"/>
              <w:bottom w:val="single" w:sz="4" w:space="0" w:color="auto"/>
              <w:right w:val="single" w:sz="4" w:space="0" w:color="auto"/>
            </w:tcBorders>
            <w:vAlign w:val="center"/>
            <w:hideMark/>
          </w:tcPr>
          <w:p w14:paraId="3B15714E"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40A89E5E" w14:textId="77777777" w:rsidR="00E1488E" w:rsidRPr="00E1488E" w:rsidRDefault="00E1488E" w:rsidP="00E1488E">
            <w:pPr>
              <w:spacing w:line="240" w:lineRule="auto"/>
              <w:jc w:val="left"/>
              <w:rPr>
                <w:rFonts w:ascii="Calibri" w:hAnsi="Calibri" w:cs="Calibri"/>
                <w:b/>
                <w:bCs/>
              </w:rPr>
            </w:pPr>
          </w:p>
        </w:tc>
      </w:tr>
      <w:tr w:rsidR="00E1488E" w:rsidRPr="00E1488E" w14:paraId="05476A9F"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17CA2DB6"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42486AF2"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143</w:t>
            </w:r>
          </w:p>
        </w:tc>
        <w:tc>
          <w:tcPr>
            <w:tcW w:w="1998" w:type="dxa"/>
            <w:tcBorders>
              <w:top w:val="nil"/>
              <w:left w:val="nil"/>
              <w:bottom w:val="single" w:sz="4" w:space="0" w:color="auto"/>
              <w:right w:val="single" w:sz="4" w:space="0" w:color="auto"/>
            </w:tcBorders>
            <w:shd w:val="clear" w:color="000000" w:fill="FFFFFF"/>
            <w:vAlign w:val="center"/>
            <w:hideMark/>
          </w:tcPr>
          <w:p w14:paraId="6F3B98DB"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CC54</w:t>
            </w:r>
          </w:p>
        </w:tc>
        <w:tc>
          <w:tcPr>
            <w:tcW w:w="3187" w:type="dxa"/>
            <w:tcBorders>
              <w:top w:val="nil"/>
              <w:left w:val="nil"/>
              <w:bottom w:val="single" w:sz="4" w:space="0" w:color="auto"/>
              <w:right w:val="single" w:sz="4" w:space="0" w:color="auto"/>
            </w:tcBorders>
            <w:shd w:val="clear" w:color="000000" w:fill="FFFFFF"/>
            <w:vAlign w:val="center"/>
            <w:hideMark/>
          </w:tcPr>
          <w:p w14:paraId="5C640CAF"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2</w:t>
            </w:r>
          </w:p>
        </w:tc>
      </w:tr>
      <w:tr w:rsidR="00E1488E" w:rsidRPr="00E1488E" w14:paraId="40CB3820"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1FD20F75"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58A7D019"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6</w:t>
            </w:r>
          </w:p>
        </w:tc>
        <w:tc>
          <w:tcPr>
            <w:tcW w:w="199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E72BB2"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CC121</w:t>
            </w:r>
          </w:p>
        </w:tc>
        <w:tc>
          <w:tcPr>
            <w:tcW w:w="3187"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8412A0"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434</w:t>
            </w:r>
          </w:p>
        </w:tc>
      </w:tr>
      <w:tr w:rsidR="00E1488E" w:rsidRPr="00E1488E" w14:paraId="75CB5AEB"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4F34FFB6"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3F42CC06"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7</w:t>
            </w:r>
          </w:p>
        </w:tc>
        <w:tc>
          <w:tcPr>
            <w:tcW w:w="1998" w:type="dxa"/>
            <w:vMerge/>
            <w:tcBorders>
              <w:top w:val="nil"/>
              <w:left w:val="single" w:sz="4" w:space="0" w:color="auto"/>
              <w:bottom w:val="single" w:sz="4" w:space="0" w:color="auto"/>
              <w:right w:val="single" w:sz="4" w:space="0" w:color="auto"/>
            </w:tcBorders>
            <w:vAlign w:val="center"/>
            <w:hideMark/>
          </w:tcPr>
          <w:p w14:paraId="0099D308"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28418D02" w14:textId="77777777" w:rsidR="00E1488E" w:rsidRPr="00E1488E" w:rsidRDefault="00E1488E" w:rsidP="00E1488E">
            <w:pPr>
              <w:spacing w:line="240" w:lineRule="auto"/>
              <w:jc w:val="left"/>
              <w:rPr>
                <w:rFonts w:ascii="Calibri" w:hAnsi="Calibri" w:cs="Calibri"/>
                <w:b/>
                <w:bCs/>
              </w:rPr>
            </w:pPr>
          </w:p>
        </w:tc>
      </w:tr>
      <w:tr w:rsidR="00E1488E" w:rsidRPr="00E1488E" w14:paraId="3CB30149"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156BE2DF"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66EB39AF"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8</w:t>
            </w:r>
          </w:p>
        </w:tc>
        <w:tc>
          <w:tcPr>
            <w:tcW w:w="1998" w:type="dxa"/>
            <w:vMerge/>
            <w:tcBorders>
              <w:top w:val="nil"/>
              <w:left w:val="single" w:sz="4" w:space="0" w:color="auto"/>
              <w:bottom w:val="single" w:sz="4" w:space="0" w:color="auto"/>
              <w:right w:val="single" w:sz="4" w:space="0" w:color="auto"/>
            </w:tcBorders>
            <w:vAlign w:val="center"/>
            <w:hideMark/>
          </w:tcPr>
          <w:p w14:paraId="6910E303"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47E1CE45" w14:textId="77777777" w:rsidR="00E1488E" w:rsidRPr="00E1488E" w:rsidRDefault="00E1488E" w:rsidP="00E1488E">
            <w:pPr>
              <w:spacing w:line="240" w:lineRule="auto"/>
              <w:jc w:val="left"/>
              <w:rPr>
                <w:rFonts w:ascii="Calibri" w:hAnsi="Calibri" w:cs="Calibri"/>
                <w:b/>
                <w:bCs/>
              </w:rPr>
            </w:pPr>
          </w:p>
        </w:tc>
      </w:tr>
      <w:tr w:rsidR="00E1488E" w:rsidRPr="00E1488E" w14:paraId="6BE61FCD"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3A452DA7"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0AF53B3C"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16</w:t>
            </w:r>
          </w:p>
        </w:tc>
        <w:tc>
          <w:tcPr>
            <w:tcW w:w="1998" w:type="dxa"/>
            <w:vMerge/>
            <w:tcBorders>
              <w:top w:val="nil"/>
              <w:left w:val="single" w:sz="4" w:space="0" w:color="auto"/>
              <w:bottom w:val="single" w:sz="4" w:space="0" w:color="auto"/>
              <w:right w:val="single" w:sz="4" w:space="0" w:color="auto"/>
            </w:tcBorders>
            <w:vAlign w:val="center"/>
            <w:hideMark/>
          </w:tcPr>
          <w:p w14:paraId="7CEE1EEC"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5625316E" w14:textId="77777777" w:rsidR="00E1488E" w:rsidRPr="00E1488E" w:rsidRDefault="00E1488E" w:rsidP="00E1488E">
            <w:pPr>
              <w:spacing w:line="240" w:lineRule="auto"/>
              <w:jc w:val="left"/>
              <w:rPr>
                <w:rFonts w:ascii="Calibri" w:hAnsi="Calibri" w:cs="Calibri"/>
                <w:b/>
                <w:bCs/>
              </w:rPr>
            </w:pPr>
          </w:p>
        </w:tc>
      </w:tr>
      <w:tr w:rsidR="00E1488E" w:rsidRPr="00E1488E" w14:paraId="1C334ED5"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765EE951"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3229AD5B"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17</w:t>
            </w:r>
          </w:p>
        </w:tc>
        <w:tc>
          <w:tcPr>
            <w:tcW w:w="1998" w:type="dxa"/>
            <w:vMerge/>
            <w:tcBorders>
              <w:top w:val="nil"/>
              <w:left w:val="single" w:sz="4" w:space="0" w:color="auto"/>
              <w:bottom w:val="single" w:sz="4" w:space="0" w:color="auto"/>
              <w:right w:val="single" w:sz="4" w:space="0" w:color="auto"/>
            </w:tcBorders>
            <w:vAlign w:val="center"/>
            <w:hideMark/>
          </w:tcPr>
          <w:p w14:paraId="03EC4950"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1AC53FF5" w14:textId="77777777" w:rsidR="00E1488E" w:rsidRPr="00E1488E" w:rsidRDefault="00E1488E" w:rsidP="00E1488E">
            <w:pPr>
              <w:spacing w:line="240" w:lineRule="auto"/>
              <w:jc w:val="left"/>
              <w:rPr>
                <w:rFonts w:ascii="Calibri" w:hAnsi="Calibri" w:cs="Calibri"/>
                <w:b/>
                <w:bCs/>
              </w:rPr>
            </w:pPr>
          </w:p>
        </w:tc>
      </w:tr>
      <w:tr w:rsidR="00E1488E" w:rsidRPr="00E1488E" w14:paraId="0FD22216"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7763F706"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5108A37B"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18</w:t>
            </w:r>
          </w:p>
        </w:tc>
        <w:tc>
          <w:tcPr>
            <w:tcW w:w="1998" w:type="dxa"/>
            <w:vMerge/>
            <w:tcBorders>
              <w:top w:val="nil"/>
              <w:left w:val="single" w:sz="4" w:space="0" w:color="auto"/>
              <w:bottom w:val="single" w:sz="4" w:space="0" w:color="auto"/>
              <w:right w:val="single" w:sz="4" w:space="0" w:color="auto"/>
            </w:tcBorders>
            <w:vAlign w:val="center"/>
            <w:hideMark/>
          </w:tcPr>
          <w:p w14:paraId="53747ABA"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369511A1" w14:textId="77777777" w:rsidR="00E1488E" w:rsidRPr="00E1488E" w:rsidRDefault="00E1488E" w:rsidP="00E1488E">
            <w:pPr>
              <w:spacing w:line="240" w:lineRule="auto"/>
              <w:jc w:val="left"/>
              <w:rPr>
                <w:rFonts w:ascii="Calibri" w:hAnsi="Calibri" w:cs="Calibri"/>
                <w:b/>
                <w:bCs/>
              </w:rPr>
            </w:pPr>
          </w:p>
        </w:tc>
      </w:tr>
      <w:tr w:rsidR="00E1488E" w:rsidRPr="00E1488E" w14:paraId="1AEDC252"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0B725C3E"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3D497D7B"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19</w:t>
            </w:r>
          </w:p>
        </w:tc>
        <w:tc>
          <w:tcPr>
            <w:tcW w:w="1998" w:type="dxa"/>
            <w:vMerge/>
            <w:tcBorders>
              <w:top w:val="nil"/>
              <w:left w:val="single" w:sz="4" w:space="0" w:color="auto"/>
              <w:bottom w:val="single" w:sz="4" w:space="0" w:color="auto"/>
              <w:right w:val="single" w:sz="4" w:space="0" w:color="auto"/>
            </w:tcBorders>
            <w:vAlign w:val="center"/>
            <w:hideMark/>
          </w:tcPr>
          <w:p w14:paraId="475FB20C"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3D3E5272" w14:textId="77777777" w:rsidR="00E1488E" w:rsidRPr="00E1488E" w:rsidRDefault="00E1488E" w:rsidP="00E1488E">
            <w:pPr>
              <w:spacing w:line="240" w:lineRule="auto"/>
              <w:jc w:val="left"/>
              <w:rPr>
                <w:rFonts w:ascii="Calibri" w:hAnsi="Calibri" w:cs="Calibri"/>
                <w:b/>
                <w:bCs/>
              </w:rPr>
            </w:pPr>
          </w:p>
        </w:tc>
      </w:tr>
      <w:tr w:rsidR="00E1488E" w:rsidRPr="00E1488E" w14:paraId="02FFD1DD"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2E4494A3"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18070AAF"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103</w:t>
            </w:r>
          </w:p>
        </w:tc>
        <w:tc>
          <w:tcPr>
            <w:tcW w:w="1998" w:type="dxa"/>
            <w:vMerge/>
            <w:tcBorders>
              <w:top w:val="nil"/>
              <w:left w:val="single" w:sz="4" w:space="0" w:color="auto"/>
              <w:bottom w:val="single" w:sz="4" w:space="0" w:color="auto"/>
              <w:right w:val="single" w:sz="4" w:space="0" w:color="auto"/>
            </w:tcBorders>
            <w:vAlign w:val="center"/>
            <w:hideMark/>
          </w:tcPr>
          <w:p w14:paraId="61318A67"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44977F6A" w14:textId="77777777" w:rsidR="00E1488E" w:rsidRPr="00E1488E" w:rsidRDefault="00E1488E" w:rsidP="00E1488E">
            <w:pPr>
              <w:spacing w:line="240" w:lineRule="auto"/>
              <w:jc w:val="left"/>
              <w:rPr>
                <w:rFonts w:ascii="Calibri" w:hAnsi="Calibri" w:cs="Calibri"/>
                <w:b/>
                <w:bCs/>
              </w:rPr>
            </w:pPr>
          </w:p>
        </w:tc>
      </w:tr>
      <w:tr w:rsidR="00E1488E" w:rsidRPr="00E1488E" w14:paraId="4A4DE78B"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2B22C249"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6F842A6F"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140</w:t>
            </w:r>
          </w:p>
        </w:tc>
        <w:tc>
          <w:tcPr>
            <w:tcW w:w="1998" w:type="dxa"/>
            <w:vMerge/>
            <w:tcBorders>
              <w:top w:val="nil"/>
              <w:left w:val="single" w:sz="4" w:space="0" w:color="auto"/>
              <w:bottom w:val="single" w:sz="4" w:space="0" w:color="auto"/>
              <w:right w:val="single" w:sz="4" w:space="0" w:color="auto"/>
            </w:tcBorders>
            <w:vAlign w:val="center"/>
            <w:hideMark/>
          </w:tcPr>
          <w:p w14:paraId="3C5CD2D8" w14:textId="77777777" w:rsidR="00E1488E" w:rsidRPr="00E1488E" w:rsidRDefault="00E1488E" w:rsidP="00E1488E">
            <w:pPr>
              <w:spacing w:line="240" w:lineRule="auto"/>
              <w:jc w:val="left"/>
              <w:rPr>
                <w:rFonts w:ascii="Calibri" w:hAnsi="Calibri" w:cs="Calibri"/>
                <w:b/>
                <w:bCs/>
              </w:rPr>
            </w:pPr>
          </w:p>
        </w:tc>
        <w:tc>
          <w:tcPr>
            <w:tcW w:w="3187" w:type="dxa"/>
            <w:vMerge/>
            <w:tcBorders>
              <w:top w:val="nil"/>
              <w:left w:val="single" w:sz="4" w:space="0" w:color="auto"/>
              <w:bottom w:val="single" w:sz="4" w:space="0" w:color="auto"/>
              <w:right w:val="single" w:sz="4" w:space="0" w:color="auto"/>
            </w:tcBorders>
            <w:vAlign w:val="center"/>
            <w:hideMark/>
          </w:tcPr>
          <w:p w14:paraId="50117F4F" w14:textId="77777777" w:rsidR="00E1488E" w:rsidRPr="00E1488E" w:rsidRDefault="00E1488E" w:rsidP="00E1488E">
            <w:pPr>
              <w:spacing w:line="240" w:lineRule="auto"/>
              <w:jc w:val="left"/>
              <w:rPr>
                <w:rFonts w:ascii="Calibri" w:hAnsi="Calibri" w:cs="Calibri"/>
                <w:b/>
                <w:bCs/>
              </w:rPr>
            </w:pPr>
          </w:p>
        </w:tc>
      </w:tr>
      <w:tr w:rsidR="00E1488E" w:rsidRPr="00E1488E" w14:paraId="2335EBC9"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29B8A447"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bottom"/>
            <w:hideMark/>
          </w:tcPr>
          <w:p w14:paraId="2B82F709"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145</w:t>
            </w:r>
          </w:p>
        </w:tc>
        <w:tc>
          <w:tcPr>
            <w:tcW w:w="1998" w:type="dxa"/>
            <w:tcBorders>
              <w:top w:val="nil"/>
              <w:left w:val="nil"/>
              <w:bottom w:val="single" w:sz="4" w:space="0" w:color="auto"/>
              <w:right w:val="single" w:sz="4" w:space="0" w:color="auto"/>
            </w:tcBorders>
            <w:shd w:val="clear" w:color="000000" w:fill="FFFFFF"/>
            <w:vAlign w:val="center"/>
            <w:hideMark/>
          </w:tcPr>
          <w:p w14:paraId="5A4BD36F"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CC191</w:t>
            </w:r>
          </w:p>
        </w:tc>
        <w:tc>
          <w:tcPr>
            <w:tcW w:w="3187" w:type="dxa"/>
            <w:tcBorders>
              <w:top w:val="nil"/>
              <w:left w:val="nil"/>
              <w:bottom w:val="single" w:sz="4" w:space="0" w:color="auto"/>
              <w:right w:val="single" w:sz="4" w:space="0" w:color="auto"/>
            </w:tcBorders>
            <w:shd w:val="clear" w:color="000000" w:fill="FFFFFF"/>
            <w:vAlign w:val="center"/>
            <w:hideMark/>
          </w:tcPr>
          <w:p w14:paraId="29FB27E3"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2</w:t>
            </w:r>
          </w:p>
        </w:tc>
      </w:tr>
      <w:tr w:rsidR="00E1488E" w:rsidRPr="00E1488E" w14:paraId="58D8E127" w14:textId="77777777" w:rsidTr="00E1488E">
        <w:trPr>
          <w:trHeight w:val="247"/>
        </w:trPr>
        <w:tc>
          <w:tcPr>
            <w:tcW w:w="2175" w:type="dxa"/>
            <w:vMerge/>
            <w:tcBorders>
              <w:top w:val="nil"/>
              <w:left w:val="single" w:sz="4" w:space="0" w:color="auto"/>
              <w:bottom w:val="single" w:sz="4" w:space="0" w:color="000000"/>
              <w:right w:val="single" w:sz="4" w:space="0" w:color="auto"/>
            </w:tcBorders>
            <w:vAlign w:val="center"/>
            <w:hideMark/>
          </w:tcPr>
          <w:p w14:paraId="66A339F6"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1EF37832"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14</w:t>
            </w:r>
          </w:p>
        </w:tc>
        <w:tc>
          <w:tcPr>
            <w:tcW w:w="1998" w:type="dxa"/>
            <w:tcBorders>
              <w:top w:val="nil"/>
              <w:left w:val="nil"/>
              <w:bottom w:val="single" w:sz="4" w:space="0" w:color="auto"/>
              <w:right w:val="single" w:sz="4" w:space="0" w:color="auto"/>
            </w:tcBorders>
            <w:shd w:val="clear" w:color="000000" w:fill="FFFFFF"/>
            <w:vAlign w:val="center"/>
            <w:hideMark/>
          </w:tcPr>
          <w:p w14:paraId="7D56EA3B"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CC204</w:t>
            </w:r>
          </w:p>
        </w:tc>
        <w:tc>
          <w:tcPr>
            <w:tcW w:w="3187" w:type="dxa"/>
            <w:tcBorders>
              <w:top w:val="nil"/>
              <w:left w:val="nil"/>
              <w:bottom w:val="single" w:sz="4" w:space="0" w:color="auto"/>
              <w:right w:val="single" w:sz="4" w:space="0" w:color="auto"/>
            </w:tcBorders>
            <w:shd w:val="clear" w:color="000000" w:fill="FFFFFF"/>
            <w:vAlign w:val="center"/>
            <w:hideMark/>
          </w:tcPr>
          <w:p w14:paraId="0A64D1FF"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65</w:t>
            </w:r>
          </w:p>
        </w:tc>
      </w:tr>
      <w:tr w:rsidR="00E1488E" w:rsidRPr="00E1488E" w14:paraId="0A3953F9" w14:textId="77777777" w:rsidTr="00E1488E">
        <w:trPr>
          <w:trHeight w:val="247"/>
        </w:trPr>
        <w:tc>
          <w:tcPr>
            <w:tcW w:w="2175" w:type="dxa"/>
            <w:tcBorders>
              <w:top w:val="nil"/>
              <w:left w:val="nil"/>
              <w:bottom w:val="nil"/>
              <w:right w:val="nil"/>
            </w:tcBorders>
            <w:shd w:val="clear" w:color="auto" w:fill="auto"/>
            <w:noWrap/>
            <w:vAlign w:val="bottom"/>
            <w:hideMark/>
          </w:tcPr>
          <w:p w14:paraId="134273E1" w14:textId="77777777" w:rsidR="00E1488E" w:rsidRPr="00E1488E" w:rsidRDefault="00E1488E" w:rsidP="00E1488E">
            <w:pPr>
              <w:spacing w:line="240" w:lineRule="auto"/>
              <w:jc w:val="center"/>
              <w:rPr>
                <w:rFonts w:ascii="Calibri" w:hAnsi="Calibri" w:cs="Calibri"/>
                <w:b/>
                <w:bCs/>
                <w:color w:val="000000"/>
              </w:rPr>
            </w:pPr>
          </w:p>
        </w:tc>
        <w:tc>
          <w:tcPr>
            <w:tcW w:w="4377" w:type="dxa"/>
            <w:gridSpan w:val="2"/>
            <w:tcBorders>
              <w:top w:val="single" w:sz="4" w:space="0" w:color="auto"/>
              <w:left w:val="single" w:sz="4" w:space="0" w:color="auto"/>
              <w:bottom w:val="single" w:sz="4" w:space="0" w:color="auto"/>
              <w:right w:val="single" w:sz="4" w:space="0" w:color="auto"/>
            </w:tcBorders>
            <w:shd w:val="clear" w:color="000000" w:fill="808080"/>
            <w:vAlign w:val="bottom"/>
            <w:hideMark/>
          </w:tcPr>
          <w:p w14:paraId="776448FD"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Total</w:t>
            </w:r>
          </w:p>
        </w:tc>
        <w:tc>
          <w:tcPr>
            <w:tcW w:w="3187" w:type="dxa"/>
            <w:tcBorders>
              <w:top w:val="nil"/>
              <w:left w:val="nil"/>
              <w:bottom w:val="single" w:sz="4" w:space="0" w:color="auto"/>
              <w:right w:val="single" w:sz="4" w:space="0" w:color="auto"/>
            </w:tcBorders>
            <w:shd w:val="clear" w:color="000000" w:fill="FFFFFF"/>
            <w:vAlign w:val="bottom"/>
            <w:hideMark/>
          </w:tcPr>
          <w:p w14:paraId="5D511256"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541</w:t>
            </w:r>
          </w:p>
        </w:tc>
      </w:tr>
      <w:tr w:rsidR="00E1488E" w:rsidRPr="00E1488E" w14:paraId="2E91235B" w14:textId="77777777" w:rsidTr="00E1488E">
        <w:trPr>
          <w:trHeight w:val="247"/>
        </w:trPr>
        <w:tc>
          <w:tcPr>
            <w:tcW w:w="2175"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54572C0E" w14:textId="77777777" w:rsidR="00E1488E" w:rsidRPr="00E1488E" w:rsidRDefault="00E1488E" w:rsidP="00E1488E">
            <w:pPr>
              <w:spacing w:line="240" w:lineRule="auto"/>
              <w:jc w:val="center"/>
              <w:rPr>
                <w:rFonts w:ascii="Calibri" w:hAnsi="Calibri" w:cs="Calibri"/>
                <w:color w:val="000000"/>
                <w:sz w:val="22"/>
                <w:szCs w:val="22"/>
              </w:rPr>
            </w:pPr>
            <w:r w:rsidRPr="00E1488E">
              <w:rPr>
                <w:rFonts w:ascii="Calibri" w:hAnsi="Calibri" w:cs="Calibri"/>
                <w:color w:val="000000"/>
                <w:sz w:val="22"/>
                <w:szCs w:val="22"/>
              </w:rPr>
              <w:t>PCR GENOLISTERIA</w:t>
            </w:r>
          </w:p>
        </w:tc>
        <w:tc>
          <w:tcPr>
            <w:tcW w:w="2378" w:type="dxa"/>
            <w:tcBorders>
              <w:top w:val="nil"/>
              <w:left w:val="nil"/>
              <w:bottom w:val="single" w:sz="4" w:space="0" w:color="auto"/>
              <w:right w:val="single" w:sz="4" w:space="0" w:color="auto"/>
            </w:tcBorders>
            <w:shd w:val="clear" w:color="000000" w:fill="FFFFFF"/>
            <w:vAlign w:val="center"/>
            <w:hideMark/>
          </w:tcPr>
          <w:p w14:paraId="2F42028F"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w:t>
            </w:r>
          </w:p>
        </w:tc>
        <w:tc>
          <w:tcPr>
            <w:tcW w:w="1998" w:type="dxa"/>
            <w:tcBorders>
              <w:top w:val="nil"/>
              <w:left w:val="nil"/>
              <w:bottom w:val="single" w:sz="4" w:space="0" w:color="auto"/>
              <w:right w:val="single" w:sz="4" w:space="0" w:color="auto"/>
            </w:tcBorders>
            <w:shd w:val="clear" w:color="000000" w:fill="FFFFFF"/>
            <w:vAlign w:val="center"/>
            <w:hideMark/>
          </w:tcPr>
          <w:p w14:paraId="1268E9E4"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CC26</w:t>
            </w:r>
          </w:p>
        </w:tc>
        <w:tc>
          <w:tcPr>
            <w:tcW w:w="3187" w:type="dxa"/>
            <w:tcBorders>
              <w:top w:val="nil"/>
              <w:left w:val="nil"/>
              <w:bottom w:val="single" w:sz="4" w:space="0" w:color="auto"/>
              <w:right w:val="single" w:sz="4" w:space="0" w:color="auto"/>
            </w:tcBorders>
            <w:shd w:val="clear" w:color="000000" w:fill="FFFFFF"/>
            <w:vAlign w:val="center"/>
            <w:hideMark/>
          </w:tcPr>
          <w:p w14:paraId="5DE17D4F"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155</w:t>
            </w:r>
          </w:p>
        </w:tc>
      </w:tr>
      <w:tr w:rsidR="00E1488E" w:rsidRPr="00E1488E" w14:paraId="7A922E81" w14:textId="77777777" w:rsidTr="00E1488E">
        <w:trPr>
          <w:trHeight w:val="247"/>
        </w:trPr>
        <w:tc>
          <w:tcPr>
            <w:tcW w:w="2175" w:type="dxa"/>
            <w:vMerge/>
            <w:tcBorders>
              <w:top w:val="single" w:sz="4" w:space="0" w:color="auto"/>
              <w:left w:val="single" w:sz="4" w:space="0" w:color="auto"/>
              <w:bottom w:val="single" w:sz="4" w:space="0" w:color="000000"/>
              <w:right w:val="single" w:sz="4" w:space="0" w:color="auto"/>
            </w:tcBorders>
            <w:vAlign w:val="center"/>
            <w:hideMark/>
          </w:tcPr>
          <w:p w14:paraId="110623DE"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339AABE7"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21</w:t>
            </w:r>
          </w:p>
        </w:tc>
        <w:tc>
          <w:tcPr>
            <w:tcW w:w="1998" w:type="dxa"/>
            <w:tcBorders>
              <w:top w:val="nil"/>
              <w:left w:val="nil"/>
              <w:bottom w:val="single" w:sz="4" w:space="0" w:color="auto"/>
              <w:right w:val="single" w:sz="4" w:space="0" w:color="auto"/>
            </w:tcBorders>
            <w:shd w:val="clear" w:color="000000" w:fill="FFFFFF"/>
            <w:vAlign w:val="center"/>
            <w:hideMark/>
          </w:tcPr>
          <w:p w14:paraId="4FC195DB"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CC31</w:t>
            </w:r>
          </w:p>
        </w:tc>
        <w:tc>
          <w:tcPr>
            <w:tcW w:w="3187" w:type="dxa"/>
            <w:tcBorders>
              <w:top w:val="nil"/>
              <w:left w:val="nil"/>
              <w:bottom w:val="single" w:sz="4" w:space="0" w:color="auto"/>
              <w:right w:val="single" w:sz="4" w:space="0" w:color="auto"/>
            </w:tcBorders>
            <w:shd w:val="clear" w:color="000000" w:fill="FFFFFF"/>
            <w:vAlign w:val="center"/>
            <w:hideMark/>
          </w:tcPr>
          <w:p w14:paraId="509EE3B3"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w:t>
            </w:r>
          </w:p>
        </w:tc>
      </w:tr>
      <w:tr w:rsidR="00E1488E" w:rsidRPr="00E1488E" w14:paraId="109B4E3F" w14:textId="77777777" w:rsidTr="00E1488E">
        <w:trPr>
          <w:trHeight w:val="247"/>
        </w:trPr>
        <w:tc>
          <w:tcPr>
            <w:tcW w:w="2175" w:type="dxa"/>
            <w:vMerge/>
            <w:tcBorders>
              <w:top w:val="single" w:sz="4" w:space="0" w:color="auto"/>
              <w:left w:val="single" w:sz="4" w:space="0" w:color="auto"/>
              <w:bottom w:val="single" w:sz="4" w:space="0" w:color="000000"/>
              <w:right w:val="single" w:sz="4" w:space="0" w:color="auto"/>
            </w:tcBorders>
            <w:vAlign w:val="center"/>
            <w:hideMark/>
          </w:tcPr>
          <w:p w14:paraId="550EFAF4"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3ABE58A7"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6</w:t>
            </w:r>
          </w:p>
        </w:tc>
        <w:tc>
          <w:tcPr>
            <w:tcW w:w="1998" w:type="dxa"/>
            <w:tcBorders>
              <w:top w:val="nil"/>
              <w:left w:val="nil"/>
              <w:bottom w:val="single" w:sz="4" w:space="0" w:color="auto"/>
              <w:right w:val="single" w:sz="4" w:space="0" w:color="auto"/>
            </w:tcBorders>
            <w:shd w:val="clear" w:color="000000" w:fill="FFFFFF"/>
            <w:vAlign w:val="center"/>
            <w:hideMark/>
          </w:tcPr>
          <w:p w14:paraId="335BDBBB"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CC121</w:t>
            </w:r>
          </w:p>
        </w:tc>
        <w:tc>
          <w:tcPr>
            <w:tcW w:w="3187" w:type="dxa"/>
            <w:tcBorders>
              <w:top w:val="nil"/>
              <w:left w:val="nil"/>
              <w:bottom w:val="single" w:sz="4" w:space="0" w:color="auto"/>
              <w:right w:val="single" w:sz="4" w:space="0" w:color="auto"/>
            </w:tcBorders>
            <w:shd w:val="clear" w:color="000000" w:fill="FFFFFF"/>
            <w:vAlign w:val="center"/>
            <w:hideMark/>
          </w:tcPr>
          <w:p w14:paraId="66095F56"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w:t>
            </w:r>
          </w:p>
        </w:tc>
      </w:tr>
      <w:tr w:rsidR="00E1488E" w:rsidRPr="00E1488E" w14:paraId="0FBB1396" w14:textId="77777777" w:rsidTr="00E1488E">
        <w:trPr>
          <w:trHeight w:val="247"/>
        </w:trPr>
        <w:tc>
          <w:tcPr>
            <w:tcW w:w="2175" w:type="dxa"/>
            <w:tcBorders>
              <w:top w:val="nil"/>
              <w:left w:val="nil"/>
              <w:bottom w:val="nil"/>
              <w:right w:val="nil"/>
            </w:tcBorders>
            <w:shd w:val="clear" w:color="auto" w:fill="auto"/>
            <w:noWrap/>
            <w:vAlign w:val="bottom"/>
            <w:hideMark/>
          </w:tcPr>
          <w:p w14:paraId="31157EDC" w14:textId="77777777" w:rsidR="00E1488E" w:rsidRPr="00E1488E" w:rsidRDefault="00E1488E" w:rsidP="00E1488E">
            <w:pPr>
              <w:spacing w:line="240" w:lineRule="auto"/>
              <w:jc w:val="center"/>
              <w:rPr>
                <w:rFonts w:ascii="Calibri" w:hAnsi="Calibri" w:cs="Calibri"/>
                <w:b/>
                <w:bCs/>
              </w:rPr>
            </w:pPr>
          </w:p>
        </w:tc>
        <w:tc>
          <w:tcPr>
            <w:tcW w:w="4377" w:type="dxa"/>
            <w:gridSpan w:val="2"/>
            <w:tcBorders>
              <w:top w:val="single" w:sz="4" w:space="0" w:color="auto"/>
              <w:left w:val="single" w:sz="4" w:space="0" w:color="auto"/>
              <w:bottom w:val="single" w:sz="4" w:space="0" w:color="auto"/>
              <w:right w:val="single" w:sz="4" w:space="0" w:color="auto"/>
            </w:tcBorders>
            <w:shd w:val="clear" w:color="000000" w:fill="808080"/>
            <w:vAlign w:val="bottom"/>
            <w:hideMark/>
          </w:tcPr>
          <w:p w14:paraId="20B08BB3"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Total</w:t>
            </w:r>
          </w:p>
        </w:tc>
        <w:tc>
          <w:tcPr>
            <w:tcW w:w="3187" w:type="dxa"/>
            <w:tcBorders>
              <w:top w:val="nil"/>
              <w:left w:val="nil"/>
              <w:bottom w:val="single" w:sz="4" w:space="0" w:color="auto"/>
              <w:right w:val="single" w:sz="4" w:space="0" w:color="auto"/>
            </w:tcBorders>
            <w:shd w:val="clear" w:color="000000" w:fill="FFFFFF"/>
            <w:vAlign w:val="bottom"/>
            <w:hideMark/>
          </w:tcPr>
          <w:p w14:paraId="2FEC1A56" w14:textId="7E4B5DF1" w:rsidR="00E1488E" w:rsidRPr="00E1488E" w:rsidRDefault="00571BFC" w:rsidP="00E1488E">
            <w:pPr>
              <w:spacing w:line="240" w:lineRule="auto"/>
              <w:jc w:val="center"/>
              <w:rPr>
                <w:rFonts w:ascii="Calibri" w:hAnsi="Calibri" w:cs="Calibri"/>
                <w:b/>
                <w:bCs/>
                <w:color w:val="000000"/>
              </w:rPr>
            </w:pPr>
            <w:r>
              <w:rPr>
                <w:rFonts w:ascii="Calibri" w:hAnsi="Calibri" w:cs="Calibri"/>
                <w:b/>
                <w:bCs/>
                <w:color w:val="000000"/>
              </w:rPr>
              <w:t>157</w:t>
            </w:r>
          </w:p>
        </w:tc>
      </w:tr>
      <w:tr w:rsidR="00E1488E" w:rsidRPr="00E1488E" w14:paraId="6EE60CC8" w14:textId="77777777" w:rsidTr="00E1488E">
        <w:trPr>
          <w:trHeight w:val="247"/>
        </w:trPr>
        <w:tc>
          <w:tcPr>
            <w:tcW w:w="217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6EB19C4" w14:textId="77777777" w:rsidR="00E1488E" w:rsidRPr="00E1488E" w:rsidRDefault="00E1488E" w:rsidP="00E1488E">
            <w:pPr>
              <w:spacing w:line="240" w:lineRule="auto"/>
              <w:jc w:val="center"/>
              <w:rPr>
                <w:rFonts w:ascii="Calibri" w:hAnsi="Calibri" w:cs="Calibri"/>
                <w:color w:val="000000"/>
                <w:sz w:val="22"/>
                <w:szCs w:val="22"/>
              </w:rPr>
            </w:pPr>
            <w:r w:rsidRPr="00E1488E">
              <w:rPr>
                <w:rFonts w:ascii="Calibri" w:hAnsi="Calibri" w:cs="Calibri"/>
                <w:color w:val="000000"/>
                <w:sz w:val="22"/>
                <w:szCs w:val="22"/>
              </w:rPr>
              <w:t>WGS</w:t>
            </w:r>
          </w:p>
        </w:tc>
        <w:tc>
          <w:tcPr>
            <w:tcW w:w="2378" w:type="dxa"/>
            <w:tcBorders>
              <w:top w:val="nil"/>
              <w:left w:val="nil"/>
              <w:bottom w:val="single" w:sz="4" w:space="0" w:color="auto"/>
              <w:right w:val="single" w:sz="4" w:space="0" w:color="auto"/>
            </w:tcBorders>
            <w:shd w:val="clear" w:color="000000" w:fill="FFFFFF"/>
            <w:vAlign w:val="center"/>
            <w:hideMark/>
          </w:tcPr>
          <w:p w14:paraId="5448377D"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4</w:t>
            </w:r>
          </w:p>
        </w:tc>
        <w:tc>
          <w:tcPr>
            <w:tcW w:w="1998" w:type="dxa"/>
            <w:tcBorders>
              <w:top w:val="nil"/>
              <w:left w:val="nil"/>
              <w:bottom w:val="single" w:sz="4" w:space="0" w:color="auto"/>
              <w:right w:val="single" w:sz="4" w:space="0" w:color="auto"/>
            </w:tcBorders>
            <w:shd w:val="clear" w:color="000000" w:fill="FFFFFF"/>
            <w:vAlign w:val="center"/>
            <w:hideMark/>
          </w:tcPr>
          <w:p w14:paraId="71859498" w14:textId="6EC98C7B" w:rsidR="00E1488E" w:rsidRPr="00E1488E" w:rsidRDefault="00026D14" w:rsidP="00E1488E">
            <w:pPr>
              <w:spacing w:line="240" w:lineRule="auto"/>
              <w:jc w:val="center"/>
              <w:rPr>
                <w:rFonts w:ascii="Calibri" w:hAnsi="Calibri" w:cs="Calibri"/>
                <w:b/>
                <w:bCs/>
              </w:rPr>
            </w:pPr>
            <w:r>
              <w:rPr>
                <w:rFonts w:ascii="Calibri" w:hAnsi="Calibri" w:cs="Calibri"/>
                <w:b/>
                <w:bCs/>
              </w:rPr>
              <w:t>En cours d’analyse</w:t>
            </w:r>
          </w:p>
        </w:tc>
        <w:tc>
          <w:tcPr>
            <w:tcW w:w="3187" w:type="dxa"/>
            <w:tcBorders>
              <w:top w:val="nil"/>
              <w:left w:val="nil"/>
              <w:bottom w:val="single" w:sz="4" w:space="0" w:color="auto"/>
              <w:right w:val="single" w:sz="4" w:space="0" w:color="auto"/>
            </w:tcBorders>
            <w:shd w:val="clear" w:color="000000" w:fill="FFFFFF"/>
            <w:vAlign w:val="center"/>
            <w:hideMark/>
          </w:tcPr>
          <w:p w14:paraId="2CA2716C"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w:t>
            </w:r>
          </w:p>
        </w:tc>
      </w:tr>
      <w:tr w:rsidR="00E1488E" w:rsidRPr="00E1488E" w14:paraId="498E909A" w14:textId="77777777" w:rsidTr="00E1488E">
        <w:trPr>
          <w:trHeight w:val="247"/>
        </w:trPr>
        <w:tc>
          <w:tcPr>
            <w:tcW w:w="2175" w:type="dxa"/>
            <w:vMerge/>
            <w:tcBorders>
              <w:top w:val="single" w:sz="4" w:space="0" w:color="auto"/>
              <w:left w:val="single" w:sz="4" w:space="0" w:color="auto"/>
              <w:bottom w:val="single" w:sz="4" w:space="0" w:color="auto"/>
              <w:right w:val="single" w:sz="4" w:space="0" w:color="auto"/>
            </w:tcBorders>
            <w:vAlign w:val="center"/>
            <w:hideMark/>
          </w:tcPr>
          <w:p w14:paraId="0A85389D"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33D99E80"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22</w:t>
            </w:r>
          </w:p>
        </w:tc>
        <w:tc>
          <w:tcPr>
            <w:tcW w:w="1998" w:type="dxa"/>
            <w:tcBorders>
              <w:top w:val="nil"/>
              <w:left w:val="nil"/>
              <w:bottom w:val="single" w:sz="4" w:space="0" w:color="auto"/>
              <w:right w:val="single" w:sz="4" w:space="0" w:color="auto"/>
            </w:tcBorders>
            <w:shd w:val="clear" w:color="000000" w:fill="FFFFFF"/>
            <w:vAlign w:val="center"/>
            <w:hideMark/>
          </w:tcPr>
          <w:p w14:paraId="3EA26892" w14:textId="65AC9367" w:rsidR="00E1488E" w:rsidRPr="00E1488E" w:rsidRDefault="00026D14" w:rsidP="00E1488E">
            <w:pPr>
              <w:spacing w:line="240" w:lineRule="auto"/>
              <w:jc w:val="center"/>
              <w:rPr>
                <w:rFonts w:ascii="Calibri" w:hAnsi="Calibri" w:cs="Calibri"/>
                <w:b/>
                <w:bCs/>
              </w:rPr>
            </w:pPr>
            <w:r>
              <w:rPr>
                <w:rFonts w:ascii="Calibri" w:hAnsi="Calibri" w:cs="Calibri"/>
                <w:b/>
                <w:bCs/>
              </w:rPr>
              <w:t>En cours d’analyse</w:t>
            </w:r>
          </w:p>
        </w:tc>
        <w:tc>
          <w:tcPr>
            <w:tcW w:w="3187" w:type="dxa"/>
            <w:tcBorders>
              <w:top w:val="nil"/>
              <w:left w:val="nil"/>
              <w:bottom w:val="single" w:sz="4" w:space="0" w:color="auto"/>
              <w:right w:val="single" w:sz="4" w:space="0" w:color="auto"/>
            </w:tcBorders>
            <w:shd w:val="clear" w:color="000000" w:fill="FFFFFF"/>
            <w:vAlign w:val="center"/>
            <w:hideMark/>
          </w:tcPr>
          <w:p w14:paraId="77927B3B"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4</w:t>
            </w:r>
          </w:p>
        </w:tc>
      </w:tr>
      <w:tr w:rsidR="00E1488E" w:rsidRPr="00E1488E" w14:paraId="00A5E466" w14:textId="77777777" w:rsidTr="00E1488E">
        <w:trPr>
          <w:trHeight w:val="247"/>
        </w:trPr>
        <w:tc>
          <w:tcPr>
            <w:tcW w:w="2175" w:type="dxa"/>
            <w:vMerge/>
            <w:tcBorders>
              <w:top w:val="single" w:sz="4" w:space="0" w:color="auto"/>
              <w:left w:val="single" w:sz="4" w:space="0" w:color="auto"/>
              <w:bottom w:val="single" w:sz="4" w:space="0" w:color="auto"/>
              <w:right w:val="single" w:sz="4" w:space="0" w:color="auto"/>
            </w:tcBorders>
            <w:vAlign w:val="center"/>
            <w:hideMark/>
          </w:tcPr>
          <w:p w14:paraId="7D4E3BAF" w14:textId="77777777" w:rsidR="00E1488E" w:rsidRPr="00E1488E" w:rsidRDefault="00E1488E" w:rsidP="00E1488E">
            <w:pPr>
              <w:spacing w:line="240" w:lineRule="auto"/>
              <w:jc w:val="left"/>
              <w:rPr>
                <w:rFonts w:ascii="Calibri" w:hAnsi="Calibri" w:cs="Calibri"/>
                <w:color w:val="000000"/>
                <w:sz w:val="22"/>
                <w:szCs w:val="22"/>
              </w:rPr>
            </w:pPr>
          </w:p>
        </w:tc>
        <w:tc>
          <w:tcPr>
            <w:tcW w:w="2378" w:type="dxa"/>
            <w:tcBorders>
              <w:top w:val="nil"/>
              <w:left w:val="nil"/>
              <w:bottom w:val="single" w:sz="4" w:space="0" w:color="auto"/>
              <w:right w:val="single" w:sz="4" w:space="0" w:color="auto"/>
            </w:tcBorders>
            <w:shd w:val="clear" w:color="000000" w:fill="FFFFFF"/>
            <w:vAlign w:val="center"/>
            <w:hideMark/>
          </w:tcPr>
          <w:p w14:paraId="3D549D50" w14:textId="7D6A558C" w:rsidR="00E1488E" w:rsidRPr="00E1488E" w:rsidRDefault="00026D14" w:rsidP="00E1488E">
            <w:pPr>
              <w:spacing w:line="240" w:lineRule="auto"/>
              <w:jc w:val="center"/>
              <w:rPr>
                <w:rFonts w:ascii="Calibri" w:hAnsi="Calibri" w:cs="Calibri"/>
                <w:b/>
                <w:bCs/>
              </w:rPr>
            </w:pPr>
            <w:r>
              <w:rPr>
                <w:rFonts w:ascii="Calibri" w:hAnsi="Calibri" w:cs="Calibri"/>
                <w:b/>
                <w:bCs/>
              </w:rPr>
              <w:t>Non déterminé</w:t>
            </w:r>
          </w:p>
        </w:tc>
        <w:tc>
          <w:tcPr>
            <w:tcW w:w="1998" w:type="dxa"/>
            <w:tcBorders>
              <w:top w:val="nil"/>
              <w:left w:val="nil"/>
              <w:bottom w:val="single" w:sz="4" w:space="0" w:color="auto"/>
              <w:right w:val="single" w:sz="4" w:space="0" w:color="auto"/>
            </w:tcBorders>
            <w:shd w:val="clear" w:color="000000" w:fill="FFFFFF"/>
            <w:vAlign w:val="center"/>
            <w:hideMark/>
          </w:tcPr>
          <w:p w14:paraId="7223DFE6" w14:textId="0526EC90" w:rsidR="00E1488E" w:rsidRPr="00E1488E" w:rsidRDefault="00026D14" w:rsidP="00E1488E">
            <w:pPr>
              <w:spacing w:line="240" w:lineRule="auto"/>
              <w:jc w:val="center"/>
              <w:rPr>
                <w:rFonts w:ascii="Calibri" w:hAnsi="Calibri" w:cs="Calibri"/>
                <w:b/>
                <w:bCs/>
              </w:rPr>
            </w:pPr>
            <w:r>
              <w:rPr>
                <w:rFonts w:ascii="Calibri" w:hAnsi="Calibri" w:cs="Calibri"/>
                <w:b/>
                <w:bCs/>
              </w:rPr>
              <w:t>En cours d’analyse</w:t>
            </w:r>
          </w:p>
        </w:tc>
        <w:tc>
          <w:tcPr>
            <w:tcW w:w="3187" w:type="dxa"/>
            <w:tcBorders>
              <w:top w:val="nil"/>
              <w:left w:val="nil"/>
              <w:bottom w:val="single" w:sz="4" w:space="0" w:color="auto"/>
              <w:right w:val="single" w:sz="4" w:space="0" w:color="auto"/>
            </w:tcBorders>
            <w:shd w:val="clear" w:color="000000" w:fill="FFFFFF"/>
            <w:vAlign w:val="center"/>
            <w:hideMark/>
          </w:tcPr>
          <w:p w14:paraId="65517296" w14:textId="77777777" w:rsidR="00E1488E" w:rsidRPr="00E1488E" w:rsidRDefault="00E1488E" w:rsidP="00E1488E">
            <w:pPr>
              <w:spacing w:line="240" w:lineRule="auto"/>
              <w:jc w:val="center"/>
              <w:rPr>
                <w:rFonts w:ascii="Calibri" w:hAnsi="Calibri" w:cs="Calibri"/>
                <w:b/>
                <w:bCs/>
              </w:rPr>
            </w:pPr>
            <w:r w:rsidRPr="00E1488E">
              <w:rPr>
                <w:rFonts w:ascii="Calibri" w:hAnsi="Calibri" w:cs="Calibri"/>
                <w:b/>
                <w:bCs/>
              </w:rPr>
              <w:t>1</w:t>
            </w:r>
          </w:p>
        </w:tc>
      </w:tr>
      <w:tr w:rsidR="00E1488E" w:rsidRPr="00E1488E" w14:paraId="6D41D07F" w14:textId="77777777" w:rsidTr="00E1488E">
        <w:trPr>
          <w:trHeight w:val="247"/>
        </w:trPr>
        <w:tc>
          <w:tcPr>
            <w:tcW w:w="2175" w:type="dxa"/>
            <w:tcBorders>
              <w:top w:val="nil"/>
              <w:left w:val="nil"/>
              <w:bottom w:val="nil"/>
              <w:right w:val="nil"/>
            </w:tcBorders>
            <w:shd w:val="clear" w:color="auto" w:fill="auto"/>
            <w:noWrap/>
            <w:vAlign w:val="bottom"/>
            <w:hideMark/>
          </w:tcPr>
          <w:p w14:paraId="7737D2DA" w14:textId="77777777" w:rsidR="00E1488E" w:rsidRPr="00E1488E" w:rsidRDefault="00E1488E" w:rsidP="00E1488E">
            <w:pPr>
              <w:spacing w:line="240" w:lineRule="auto"/>
              <w:jc w:val="center"/>
              <w:rPr>
                <w:rFonts w:ascii="Calibri" w:hAnsi="Calibri" w:cs="Calibri"/>
                <w:b/>
                <w:bCs/>
              </w:rPr>
            </w:pPr>
          </w:p>
        </w:tc>
        <w:tc>
          <w:tcPr>
            <w:tcW w:w="4377" w:type="dxa"/>
            <w:gridSpan w:val="2"/>
            <w:tcBorders>
              <w:top w:val="single" w:sz="4" w:space="0" w:color="auto"/>
              <w:left w:val="single" w:sz="4" w:space="0" w:color="auto"/>
              <w:bottom w:val="single" w:sz="4" w:space="0" w:color="auto"/>
              <w:right w:val="single" w:sz="4" w:space="0" w:color="auto"/>
            </w:tcBorders>
            <w:shd w:val="clear" w:color="000000" w:fill="808080"/>
            <w:vAlign w:val="bottom"/>
            <w:hideMark/>
          </w:tcPr>
          <w:p w14:paraId="33A0DF12"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Total</w:t>
            </w:r>
          </w:p>
        </w:tc>
        <w:tc>
          <w:tcPr>
            <w:tcW w:w="3187" w:type="dxa"/>
            <w:tcBorders>
              <w:top w:val="nil"/>
              <w:left w:val="nil"/>
              <w:bottom w:val="single" w:sz="4" w:space="0" w:color="auto"/>
              <w:right w:val="single" w:sz="4" w:space="0" w:color="auto"/>
            </w:tcBorders>
            <w:shd w:val="clear" w:color="000000" w:fill="FFFFFF"/>
            <w:vAlign w:val="bottom"/>
            <w:hideMark/>
          </w:tcPr>
          <w:p w14:paraId="3D9A8DE1" w14:textId="77777777" w:rsidR="00E1488E" w:rsidRPr="00E1488E" w:rsidRDefault="00E1488E" w:rsidP="00E1488E">
            <w:pPr>
              <w:spacing w:line="240" w:lineRule="auto"/>
              <w:jc w:val="center"/>
              <w:rPr>
                <w:rFonts w:ascii="Calibri" w:hAnsi="Calibri" w:cs="Calibri"/>
                <w:b/>
                <w:bCs/>
                <w:color w:val="000000"/>
              </w:rPr>
            </w:pPr>
            <w:r w:rsidRPr="00E1488E">
              <w:rPr>
                <w:rFonts w:ascii="Calibri" w:hAnsi="Calibri" w:cs="Calibri"/>
                <w:b/>
                <w:bCs/>
                <w:color w:val="000000"/>
              </w:rPr>
              <w:t>704</w:t>
            </w:r>
          </w:p>
        </w:tc>
      </w:tr>
    </w:tbl>
    <w:p w14:paraId="7653F5AC" w14:textId="05EFD546" w:rsidR="000378BC" w:rsidRDefault="000378BC" w:rsidP="00FC0CD4">
      <w:pPr>
        <w:rPr>
          <w:iCs/>
          <w:color w:val="000000"/>
        </w:rPr>
      </w:pPr>
    </w:p>
    <w:p w14:paraId="20AB17CE" w14:textId="45F15994" w:rsidR="00631F94" w:rsidRDefault="00631F94" w:rsidP="00FC0CD4">
      <w:pPr>
        <w:rPr>
          <w:iCs/>
          <w:color w:val="000000"/>
        </w:rPr>
      </w:pPr>
      <w:r>
        <w:rPr>
          <w:iCs/>
          <w:color w:val="000000"/>
        </w:rPr>
        <w:t>Nous avons ensuite évalu</w:t>
      </w:r>
      <w:r w:rsidR="00E201C5">
        <w:rPr>
          <w:iCs/>
          <w:color w:val="000000"/>
        </w:rPr>
        <w:t>é</w:t>
      </w:r>
      <w:r>
        <w:rPr>
          <w:iCs/>
          <w:color w:val="000000"/>
        </w:rPr>
        <w:t xml:space="preserve"> la dispersion des </w:t>
      </w:r>
      <w:proofErr w:type="spellStart"/>
      <w:r>
        <w:rPr>
          <w:iCs/>
          <w:color w:val="000000"/>
        </w:rPr>
        <w:t>CCs</w:t>
      </w:r>
      <w:proofErr w:type="spellEnd"/>
      <w:r>
        <w:rPr>
          <w:iCs/>
          <w:color w:val="000000"/>
        </w:rPr>
        <w:t xml:space="preserve"> de </w:t>
      </w:r>
      <w:r w:rsidRPr="00631F94">
        <w:rPr>
          <w:i/>
          <w:iCs/>
          <w:color w:val="000000"/>
        </w:rPr>
        <w:t xml:space="preserve">L. </w:t>
      </w:r>
      <w:proofErr w:type="spellStart"/>
      <w:r w:rsidRPr="00631F94">
        <w:rPr>
          <w:i/>
          <w:iCs/>
          <w:color w:val="000000"/>
        </w:rPr>
        <w:t>monocytogenes</w:t>
      </w:r>
      <w:proofErr w:type="spellEnd"/>
      <w:r>
        <w:rPr>
          <w:iCs/>
          <w:color w:val="000000"/>
        </w:rPr>
        <w:t xml:space="preserve"> selon la nature </w:t>
      </w:r>
      <w:r w:rsidR="00E201C5">
        <w:rPr>
          <w:iCs/>
          <w:color w:val="000000"/>
        </w:rPr>
        <w:t>du prélèvement</w:t>
      </w:r>
      <w:r>
        <w:rPr>
          <w:iCs/>
          <w:color w:val="000000"/>
        </w:rPr>
        <w:t xml:space="preserve"> (saumon ou truite, aliment ou prélèvement environnemental) (</w:t>
      </w:r>
      <w:r>
        <w:rPr>
          <w:iCs/>
          <w:color w:val="000000"/>
        </w:rPr>
        <w:fldChar w:fldCharType="begin"/>
      </w:r>
      <w:r>
        <w:rPr>
          <w:iCs/>
          <w:color w:val="000000"/>
        </w:rPr>
        <w:instrText xml:space="preserve"> REF _Ref70682460 \h </w:instrText>
      </w:r>
      <w:r>
        <w:rPr>
          <w:iCs/>
          <w:color w:val="000000"/>
        </w:rPr>
      </w:r>
      <w:r>
        <w:rPr>
          <w:iCs/>
          <w:color w:val="000000"/>
        </w:rPr>
        <w:fldChar w:fldCharType="separate"/>
      </w:r>
      <w:r>
        <w:t xml:space="preserve">Tableau </w:t>
      </w:r>
      <w:r>
        <w:rPr>
          <w:noProof/>
        </w:rPr>
        <w:t>3</w:t>
      </w:r>
      <w:r>
        <w:rPr>
          <w:iCs/>
          <w:color w:val="000000"/>
        </w:rPr>
        <w:fldChar w:fldCharType="end"/>
      </w:r>
      <w:r>
        <w:rPr>
          <w:iCs/>
          <w:color w:val="000000"/>
        </w:rPr>
        <w:t xml:space="preserve">). </w:t>
      </w:r>
      <w:r w:rsidR="000915C1">
        <w:rPr>
          <w:iCs/>
          <w:color w:val="000000"/>
        </w:rPr>
        <w:t xml:space="preserve">Les trois </w:t>
      </w:r>
      <w:proofErr w:type="spellStart"/>
      <w:r w:rsidR="000915C1">
        <w:rPr>
          <w:iCs/>
          <w:color w:val="000000"/>
        </w:rPr>
        <w:t>CC</w:t>
      </w:r>
      <w:r w:rsidR="00E201C5">
        <w:rPr>
          <w:iCs/>
          <w:color w:val="000000"/>
        </w:rPr>
        <w:t>s</w:t>
      </w:r>
      <w:proofErr w:type="spellEnd"/>
      <w:r w:rsidR="000915C1">
        <w:rPr>
          <w:iCs/>
          <w:color w:val="000000"/>
        </w:rPr>
        <w:t xml:space="preserve"> les plus fréquemment </w:t>
      </w:r>
      <w:r w:rsidR="00E201C5">
        <w:rPr>
          <w:iCs/>
          <w:color w:val="000000"/>
        </w:rPr>
        <w:t>identifiés</w:t>
      </w:r>
      <w:r w:rsidR="000915C1">
        <w:rPr>
          <w:iCs/>
          <w:color w:val="000000"/>
        </w:rPr>
        <w:t xml:space="preserve"> dans cette étude (CC121, CC26 et CC204) étaient tous associé</w:t>
      </w:r>
      <w:r w:rsidR="00E201C5">
        <w:rPr>
          <w:iCs/>
          <w:color w:val="000000"/>
        </w:rPr>
        <w:t>s</w:t>
      </w:r>
      <w:r w:rsidR="000915C1">
        <w:rPr>
          <w:iCs/>
          <w:color w:val="000000"/>
        </w:rPr>
        <w:t xml:space="preserve"> à la transformation du saumon. </w:t>
      </w:r>
      <w:r w:rsidR="00E201C5">
        <w:rPr>
          <w:iCs/>
          <w:color w:val="000000"/>
        </w:rPr>
        <w:t>L</w:t>
      </w:r>
      <w:r w:rsidR="000915C1">
        <w:rPr>
          <w:iCs/>
          <w:color w:val="000000"/>
        </w:rPr>
        <w:t xml:space="preserve">es CC121 et CC204 ont été aussi bien </w:t>
      </w:r>
      <w:r w:rsidR="00E201C5">
        <w:rPr>
          <w:iCs/>
          <w:color w:val="000000"/>
        </w:rPr>
        <w:t>identifiés</w:t>
      </w:r>
      <w:r w:rsidR="000915C1">
        <w:rPr>
          <w:iCs/>
          <w:color w:val="000000"/>
        </w:rPr>
        <w:t xml:space="preserve"> d</w:t>
      </w:r>
      <w:r w:rsidR="00E201C5">
        <w:rPr>
          <w:iCs/>
          <w:color w:val="000000"/>
        </w:rPr>
        <w:t>ans les prélèvements alimentaires (saumon fumé)</w:t>
      </w:r>
      <w:r w:rsidR="000915C1">
        <w:rPr>
          <w:iCs/>
          <w:color w:val="000000"/>
        </w:rPr>
        <w:t xml:space="preserve"> que d</w:t>
      </w:r>
      <w:r w:rsidR="00E201C5">
        <w:rPr>
          <w:iCs/>
          <w:color w:val="000000"/>
        </w:rPr>
        <w:t>ans</w:t>
      </w:r>
      <w:r w:rsidR="000915C1">
        <w:rPr>
          <w:iCs/>
          <w:color w:val="000000"/>
        </w:rPr>
        <w:t xml:space="preserve"> l’environnement d</w:t>
      </w:r>
      <w:r w:rsidR="00E201C5">
        <w:rPr>
          <w:iCs/>
          <w:color w:val="000000"/>
        </w:rPr>
        <w:t>es entreprises de transformation de saumon</w:t>
      </w:r>
      <w:r w:rsidR="000915C1">
        <w:rPr>
          <w:iCs/>
          <w:color w:val="000000"/>
        </w:rPr>
        <w:t xml:space="preserve"> alors que le CC26 exclusivement du saumon fumé.</w:t>
      </w:r>
    </w:p>
    <w:p w14:paraId="3BE85708" w14:textId="1827BEB5" w:rsidR="000915C1" w:rsidRDefault="000915C1" w:rsidP="00FC0CD4">
      <w:pPr>
        <w:rPr>
          <w:iCs/>
          <w:color w:val="000000"/>
        </w:rPr>
      </w:pPr>
      <w:r>
        <w:rPr>
          <w:iCs/>
          <w:color w:val="000000"/>
        </w:rPr>
        <w:t>Le CC</w:t>
      </w:r>
      <w:r w:rsidR="0039794A">
        <w:rPr>
          <w:iCs/>
          <w:color w:val="000000"/>
        </w:rPr>
        <w:t>9 (responsable de cas sporadique</w:t>
      </w:r>
      <w:r w:rsidR="00944010">
        <w:rPr>
          <w:iCs/>
          <w:color w:val="000000"/>
        </w:rPr>
        <w:t xml:space="preserve"> de listérioses</w:t>
      </w:r>
      <w:r w:rsidR="0039794A">
        <w:rPr>
          <w:iCs/>
          <w:color w:val="000000"/>
        </w:rPr>
        <w:t>) et</w:t>
      </w:r>
      <w:r w:rsidR="00E201C5">
        <w:rPr>
          <w:iCs/>
          <w:color w:val="000000"/>
        </w:rPr>
        <w:t xml:space="preserve"> les CC1 et CC6 (hyper-</w:t>
      </w:r>
      <w:r w:rsidR="0039794A">
        <w:rPr>
          <w:iCs/>
          <w:color w:val="000000"/>
        </w:rPr>
        <w:t xml:space="preserve">virulent) ont </w:t>
      </w:r>
      <w:r w:rsidR="00E201C5">
        <w:rPr>
          <w:iCs/>
          <w:color w:val="000000"/>
        </w:rPr>
        <w:t xml:space="preserve">été identifiés dans notre étude et ils ont été isolés dans les prélèvements réalisés dans </w:t>
      </w:r>
      <w:r w:rsidR="0039794A">
        <w:rPr>
          <w:iCs/>
          <w:color w:val="000000"/>
        </w:rPr>
        <w:t xml:space="preserve">la filière truite (matière première et produit fini). </w:t>
      </w:r>
      <w:r w:rsidR="00944010">
        <w:rPr>
          <w:iCs/>
          <w:color w:val="000000"/>
        </w:rPr>
        <w:t>L</w:t>
      </w:r>
      <w:r w:rsidR="0039794A">
        <w:rPr>
          <w:iCs/>
          <w:color w:val="000000"/>
        </w:rPr>
        <w:t xml:space="preserve">e CC5 a été </w:t>
      </w:r>
      <w:r w:rsidR="00944010">
        <w:rPr>
          <w:iCs/>
          <w:color w:val="000000"/>
        </w:rPr>
        <w:t>identifié dans les deux natures</w:t>
      </w:r>
      <w:r w:rsidR="0039794A">
        <w:rPr>
          <w:iCs/>
          <w:color w:val="000000"/>
        </w:rPr>
        <w:t xml:space="preserve"> de produits</w:t>
      </w:r>
      <w:r w:rsidR="00944010">
        <w:rPr>
          <w:iCs/>
          <w:color w:val="000000"/>
        </w:rPr>
        <w:t xml:space="preserve"> alimentaires (saumon fumé et truite matière première)</w:t>
      </w:r>
      <w:r w:rsidR="0039794A">
        <w:rPr>
          <w:iCs/>
          <w:color w:val="000000"/>
        </w:rPr>
        <w:t>.</w:t>
      </w:r>
      <w:r w:rsidR="00944010">
        <w:rPr>
          <w:iCs/>
          <w:color w:val="000000"/>
        </w:rPr>
        <w:t xml:space="preserve"> Nous sommes en cours d’analyse des génomes des 6 souches auxquels aucun CC n’a été identifié pour l’instant.</w:t>
      </w:r>
      <w:r w:rsidR="0039794A">
        <w:rPr>
          <w:iCs/>
          <w:color w:val="000000"/>
        </w:rPr>
        <w:t xml:space="preserve"> </w:t>
      </w:r>
    </w:p>
    <w:p w14:paraId="5FFD8F4A" w14:textId="77777777" w:rsidR="0091374D" w:rsidRDefault="0091374D" w:rsidP="00FC0CD4">
      <w:pPr>
        <w:rPr>
          <w:iCs/>
          <w:color w:val="000000"/>
        </w:rPr>
      </w:pPr>
    </w:p>
    <w:p w14:paraId="5E85C42E" w14:textId="3B93DDFE" w:rsidR="000521DF" w:rsidRDefault="000521DF" w:rsidP="000521DF">
      <w:pPr>
        <w:pStyle w:val="Lgende"/>
        <w:rPr>
          <w:iCs/>
          <w:color w:val="000000"/>
        </w:rPr>
      </w:pPr>
      <w:bookmarkStart w:id="44" w:name="_Ref70682460"/>
      <w:bookmarkStart w:id="45" w:name="_Toc70681279"/>
      <w:bookmarkStart w:id="46" w:name="_Toc73027713"/>
      <w:r>
        <w:t xml:space="preserve">Tableau </w:t>
      </w:r>
      <w:r w:rsidR="00657B21">
        <w:fldChar w:fldCharType="begin"/>
      </w:r>
      <w:r w:rsidR="00657B21">
        <w:instrText xml:space="preserve"> SEQ Tableau \* ARABIC </w:instrText>
      </w:r>
      <w:r w:rsidR="00657B21">
        <w:fldChar w:fldCharType="separate"/>
      </w:r>
      <w:r w:rsidR="003E5038">
        <w:rPr>
          <w:noProof/>
        </w:rPr>
        <w:t>3</w:t>
      </w:r>
      <w:r w:rsidR="00657B21">
        <w:rPr>
          <w:noProof/>
        </w:rPr>
        <w:fldChar w:fldCharType="end"/>
      </w:r>
      <w:bookmarkEnd w:id="44"/>
      <w:r>
        <w:t> : D</w:t>
      </w:r>
      <w:r w:rsidRPr="003E6FE2">
        <w:t>iversité génétique</w:t>
      </w:r>
      <w:r>
        <w:t xml:space="preserve"> des souches de </w:t>
      </w:r>
      <w:r w:rsidRPr="00CC7A70">
        <w:rPr>
          <w:i/>
        </w:rPr>
        <w:t xml:space="preserve">L. </w:t>
      </w:r>
      <w:proofErr w:type="spellStart"/>
      <w:r w:rsidRPr="00CC7A70">
        <w:rPr>
          <w:i/>
        </w:rPr>
        <w:t>monocytogenes</w:t>
      </w:r>
      <w:bookmarkEnd w:id="45"/>
      <w:proofErr w:type="spellEnd"/>
      <w:r w:rsidR="00D51143">
        <w:rPr>
          <w:i/>
        </w:rPr>
        <w:t xml:space="preserve"> </w:t>
      </w:r>
      <w:r w:rsidR="00D51143" w:rsidRPr="00D51143">
        <w:t>sélectionnées</w:t>
      </w:r>
      <w:bookmarkEnd w:id="46"/>
    </w:p>
    <w:tbl>
      <w:tblPr>
        <w:tblW w:w="6232" w:type="dxa"/>
        <w:tblCellMar>
          <w:left w:w="70" w:type="dxa"/>
          <w:right w:w="70" w:type="dxa"/>
        </w:tblCellMar>
        <w:tblLook w:val="04A0" w:firstRow="1" w:lastRow="0" w:firstColumn="1" w:lastColumn="0" w:noHBand="0" w:noVBand="1"/>
      </w:tblPr>
      <w:tblGrid>
        <w:gridCol w:w="3539"/>
        <w:gridCol w:w="1221"/>
        <w:gridCol w:w="1472"/>
      </w:tblGrid>
      <w:tr w:rsidR="0024531A" w:rsidRPr="0024531A" w14:paraId="74D9BD68" w14:textId="77777777" w:rsidTr="00D51143">
        <w:trPr>
          <w:trHeight w:val="900"/>
        </w:trPr>
        <w:tc>
          <w:tcPr>
            <w:tcW w:w="3539"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6030A865" w14:textId="0616ECDC" w:rsidR="0024531A" w:rsidRPr="0024531A" w:rsidRDefault="00D51143" w:rsidP="00D51143">
            <w:pPr>
              <w:spacing w:line="240" w:lineRule="auto"/>
              <w:jc w:val="center"/>
              <w:rPr>
                <w:rFonts w:ascii="Calibri" w:hAnsi="Calibri"/>
                <w:sz w:val="22"/>
                <w:szCs w:val="22"/>
              </w:rPr>
            </w:pPr>
            <w:r>
              <w:rPr>
                <w:rFonts w:ascii="Calibri" w:hAnsi="Calibri"/>
                <w:sz w:val="22"/>
                <w:szCs w:val="22"/>
              </w:rPr>
              <w:t>Nature</w:t>
            </w:r>
            <w:r w:rsidR="0024531A" w:rsidRPr="0024531A">
              <w:rPr>
                <w:rFonts w:ascii="Calibri" w:hAnsi="Calibri"/>
                <w:sz w:val="22"/>
                <w:szCs w:val="22"/>
              </w:rPr>
              <w:t xml:space="preserve"> des </w:t>
            </w:r>
            <w:r>
              <w:rPr>
                <w:rFonts w:ascii="Calibri" w:hAnsi="Calibri"/>
                <w:sz w:val="22"/>
                <w:szCs w:val="22"/>
              </w:rPr>
              <w:t>prélèvements alimentaires et environnementaux</w:t>
            </w:r>
            <w:r w:rsidR="0024531A" w:rsidRPr="0024531A">
              <w:rPr>
                <w:rFonts w:ascii="Calibri" w:hAnsi="Calibri"/>
                <w:sz w:val="22"/>
                <w:szCs w:val="22"/>
              </w:rPr>
              <w:t xml:space="preserve"> </w:t>
            </w:r>
          </w:p>
        </w:tc>
        <w:tc>
          <w:tcPr>
            <w:tcW w:w="1221" w:type="dxa"/>
            <w:tcBorders>
              <w:top w:val="single" w:sz="4" w:space="0" w:color="auto"/>
              <w:left w:val="nil"/>
              <w:bottom w:val="single" w:sz="4" w:space="0" w:color="auto"/>
              <w:right w:val="single" w:sz="4" w:space="0" w:color="auto"/>
            </w:tcBorders>
            <w:shd w:val="clear" w:color="000000" w:fill="A6A6A6"/>
            <w:vAlign w:val="center"/>
            <w:hideMark/>
          </w:tcPr>
          <w:p w14:paraId="45B90F19"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Complexes clonaux</w:t>
            </w:r>
          </w:p>
        </w:tc>
        <w:tc>
          <w:tcPr>
            <w:tcW w:w="1472" w:type="dxa"/>
            <w:tcBorders>
              <w:top w:val="single" w:sz="4" w:space="0" w:color="auto"/>
              <w:left w:val="nil"/>
              <w:bottom w:val="single" w:sz="4" w:space="0" w:color="auto"/>
              <w:right w:val="single" w:sz="4" w:space="0" w:color="auto"/>
            </w:tcBorders>
            <w:shd w:val="clear" w:color="000000" w:fill="A6A6A6"/>
            <w:vAlign w:val="center"/>
            <w:hideMark/>
          </w:tcPr>
          <w:p w14:paraId="6785033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Nombre de souches</w:t>
            </w:r>
          </w:p>
        </w:tc>
      </w:tr>
      <w:tr w:rsidR="0024531A" w:rsidRPr="0024531A" w14:paraId="0EA1673C" w14:textId="77777777" w:rsidTr="00D51143">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4429D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Saumon fumé</w:t>
            </w:r>
          </w:p>
        </w:tc>
        <w:tc>
          <w:tcPr>
            <w:tcW w:w="1221" w:type="dxa"/>
            <w:tcBorders>
              <w:top w:val="nil"/>
              <w:left w:val="nil"/>
              <w:bottom w:val="single" w:sz="4" w:space="0" w:color="auto"/>
              <w:right w:val="single" w:sz="4" w:space="0" w:color="auto"/>
            </w:tcBorders>
            <w:shd w:val="clear" w:color="auto" w:fill="auto"/>
            <w:vAlign w:val="center"/>
            <w:hideMark/>
          </w:tcPr>
          <w:p w14:paraId="32067FC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CC3</w:t>
            </w:r>
          </w:p>
        </w:tc>
        <w:tc>
          <w:tcPr>
            <w:tcW w:w="1472" w:type="dxa"/>
            <w:tcBorders>
              <w:top w:val="nil"/>
              <w:left w:val="nil"/>
              <w:bottom w:val="single" w:sz="4" w:space="0" w:color="auto"/>
              <w:right w:val="single" w:sz="4" w:space="0" w:color="auto"/>
            </w:tcBorders>
            <w:shd w:val="clear" w:color="auto" w:fill="auto"/>
            <w:noWrap/>
            <w:vAlign w:val="center"/>
            <w:hideMark/>
          </w:tcPr>
          <w:p w14:paraId="3E604770"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5</w:t>
            </w:r>
          </w:p>
        </w:tc>
      </w:tr>
      <w:tr w:rsidR="0024531A" w:rsidRPr="0024531A" w14:paraId="74C95FEA" w14:textId="77777777" w:rsidTr="00D51143">
        <w:trPr>
          <w:trHeight w:val="900"/>
        </w:trPr>
        <w:tc>
          <w:tcPr>
            <w:tcW w:w="3539" w:type="dxa"/>
            <w:vMerge/>
            <w:tcBorders>
              <w:top w:val="nil"/>
              <w:left w:val="single" w:sz="4" w:space="0" w:color="auto"/>
              <w:bottom w:val="single" w:sz="4" w:space="0" w:color="auto"/>
              <w:right w:val="single" w:sz="4" w:space="0" w:color="auto"/>
            </w:tcBorders>
            <w:vAlign w:val="center"/>
            <w:hideMark/>
          </w:tcPr>
          <w:p w14:paraId="61023094"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vAlign w:val="center"/>
            <w:hideMark/>
          </w:tcPr>
          <w:p w14:paraId="2C0E780E"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CC5</w:t>
            </w:r>
          </w:p>
        </w:tc>
        <w:tc>
          <w:tcPr>
            <w:tcW w:w="1472" w:type="dxa"/>
            <w:tcBorders>
              <w:top w:val="nil"/>
              <w:left w:val="nil"/>
              <w:bottom w:val="single" w:sz="4" w:space="0" w:color="auto"/>
              <w:right w:val="single" w:sz="4" w:space="0" w:color="auto"/>
            </w:tcBorders>
            <w:shd w:val="clear" w:color="auto" w:fill="auto"/>
            <w:noWrap/>
            <w:vAlign w:val="center"/>
            <w:hideMark/>
          </w:tcPr>
          <w:p w14:paraId="4220863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w:t>
            </w:r>
          </w:p>
        </w:tc>
      </w:tr>
      <w:tr w:rsidR="0024531A" w:rsidRPr="0024531A" w14:paraId="20FDDAF7"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6C718AD7"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vAlign w:val="center"/>
            <w:hideMark/>
          </w:tcPr>
          <w:p w14:paraId="5AE85D9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CC7</w:t>
            </w:r>
          </w:p>
        </w:tc>
        <w:tc>
          <w:tcPr>
            <w:tcW w:w="1472" w:type="dxa"/>
            <w:tcBorders>
              <w:top w:val="nil"/>
              <w:left w:val="nil"/>
              <w:bottom w:val="single" w:sz="4" w:space="0" w:color="auto"/>
              <w:right w:val="single" w:sz="4" w:space="0" w:color="auto"/>
            </w:tcBorders>
            <w:shd w:val="clear" w:color="auto" w:fill="auto"/>
            <w:noWrap/>
            <w:vAlign w:val="center"/>
            <w:hideMark/>
          </w:tcPr>
          <w:p w14:paraId="1F5BD4C2"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6</w:t>
            </w:r>
          </w:p>
        </w:tc>
      </w:tr>
      <w:tr w:rsidR="0024531A" w:rsidRPr="0024531A" w14:paraId="24E653AA"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45C5E9F5"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vAlign w:val="center"/>
            <w:hideMark/>
          </w:tcPr>
          <w:p w14:paraId="54AD26A2"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CC26</w:t>
            </w:r>
          </w:p>
        </w:tc>
        <w:tc>
          <w:tcPr>
            <w:tcW w:w="1472" w:type="dxa"/>
            <w:tcBorders>
              <w:top w:val="nil"/>
              <w:left w:val="nil"/>
              <w:bottom w:val="single" w:sz="4" w:space="0" w:color="auto"/>
              <w:right w:val="single" w:sz="4" w:space="0" w:color="auto"/>
            </w:tcBorders>
            <w:shd w:val="clear" w:color="auto" w:fill="auto"/>
            <w:noWrap/>
            <w:vAlign w:val="center"/>
            <w:hideMark/>
          </w:tcPr>
          <w:p w14:paraId="11AFEB66"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155</w:t>
            </w:r>
          </w:p>
        </w:tc>
      </w:tr>
      <w:tr w:rsidR="0024531A" w:rsidRPr="0024531A" w14:paraId="2C406AFC"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33246FA9"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17DC6423"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1472" w:type="dxa"/>
            <w:tcBorders>
              <w:top w:val="nil"/>
              <w:left w:val="nil"/>
              <w:bottom w:val="single" w:sz="4" w:space="0" w:color="auto"/>
              <w:right w:val="single" w:sz="4" w:space="0" w:color="auto"/>
            </w:tcBorders>
            <w:shd w:val="clear" w:color="auto" w:fill="auto"/>
            <w:noWrap/>
            <w:vAlign w:val="center"/>
            <w:hideMark/>
          </w:tcPr>
          <w:p w14:paraId="7CFA5FF6"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418</w:t>
            </w:r>
          </w:p>
        </w:tc>
      </w:tr>
      <w:tr w:rsidR="0024531A" w:rsidRPr="0024531A" w14:paraId="52EB7497"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3E5520E3"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62DB680C"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CC204</w:t>
            </w:r>
          </w:p>
        </w:tc>
        <w:tc>
          <w:tcPr>
            <w:tcW w:w="1472" w:type="dxa"/>
            <w:tcBorders>
              <w:top w:val="nil"/>
              <w:left w:val="nil"/>
              <w:bottom w:val="single" w:sz="4" w:space="0" w:color="auto"/>
              <w:right w:val="single" w:sz="4" w:space="0" w:color="auto"/>
            </w:tcBorders>
            <w:shd w:val="clear" w:color="auto" w:fill="auto"/>
            <w:noWrap/>
            <w:vAlign w:val="center"/>
            <w:hideMark/>
          </w:tcPr>
          <w:p w14:paraId="16338E6C"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57</w:t>
            </w:r>
          </w:p>
        </w:tc>
      </w:tr>
      <w:tr w:rsidR="0024531A" w:rsidRPr="0024531A" w14:paraId="2554CFFE" w14:textId="77777777" w:rsidTr="00D51143">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E496E7"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Environnement saumon</w:t>
            </w:r>
          </w:p>
        </w:tc>
        <w:tc>
          <w:tcPr>
            <w:tcW w:w="1221" w:type="dxa"/>
            <w:tcBorders>
              <w:top w:val="nil"/>
              <w:left w:val="nil"/>
              <w:bottom w:val="single" w:sz="4" w:space="0" w:color="auto"/>
              <w:right w:val="single" w:sz="4" w:space="0" w:color="auto"/>
            </w:tcBorders>
            <w:shd w:val="clear" w:color="auto" w:fill="auto"/>
            <w:noWrap/>
            <w:vAlign w:val="center"/>
            <w:hideMark/>
          </w:tcPr>
          <w:p w14:paraId="357DF1C9"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CC31</w:t>
            </w:r>
          </w:p>
        </w:tc>
        <w:tc>
          <w:tcPr>
            <w:tcW w:w="1472" w:type="dxa"/>
            <w:tcBorders>
              <w:top w:val="nil"/>
              <w:left w:val="nil"/>
              <w:bottom w:val="single" w:sz="4" w:space="0" w:color="auto"/>
              <w:right w:val="single" w:sz="4" w:space="0" w:color="auto"/>
            </w:tcBorders>
            <w:shd w:val="clear" w:color="auto" w:fill="auto"/>
            <w:noWrap/>
            <w:vAlign w:val="center"/>
            <w:hideMark/>
          </w:tcPr>
          <w:p w14:paraId="3BB18C01"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w:t>
            </w:r>
          </w:p>
        </w:tc>
      </w:tr>
      <w:tr w:rsidR="0024531A" w:rsidRPr="0024531A" w14:paraId="074BE002"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41BBFDA5"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vAlign w:val="center"/>
            <w:hideMark/>
          </w:tcPr>
          <w:p w14:paraId="63FE6986"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1472" w:type="dxa"/>
            <w:tcBorders>
              <w:top w:val="nil"/>
              <w:left w:val="nil"/>
              <w:bottom w:val="single" w:sz="4" w:space="0" w:color="auto"/>
              <w:right w:val="single" w:sz="4" w:space="0" w:color="auto"/>
            </w:tcBorders>
            <w:shd w:val="clear" w:color="auto" w:fill="auto"/>
            <w:noWrap/>
            <w:vAlign w:val="center"/>
            <w:hideMark/>
          </w:tcPr>
          <w:p w14:paraId="32231791"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16</w:t>
            </w:r>
          </w:p>
        </w:tc>
      </w:tr>
      <w:tr w:rsidR="0024531A" w:rsidRPr="0024531A" w14:paraId="5922D015"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04DD6766"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vAlign w:val="center"/>
            <w:hideMark/>
          </w:tcPr>
          <w:p w14:paraId="3CD47026"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CC204</w:t>
            </w:r>
          </w:p>
        </w:tc>
        <w:tc>
          <w:tcPr>
            <w:tcW w:w="1472" w:type="dxa"/>
            <w:tcBorders>
              <w:top w:val="nil"/>
              <w:left w:val="nil"/>
              <w:bottom w:val="single" w:sz="4" w:space="0" w:color="auto"/>
              <w:right w:val="single" w:sz="4" w:space="0" w:color="auto"/>
            </w:tcBorders>
            <w:shd w:val="clear" w:color="auto" w:fill="auto"/>
            <w:noWrap/>
            <w:vAlign w:val="center"/>
            <w:hideMark/>
          </w:tcPr>
          <w:p w14:paraId="3CDF2F35"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7</w:t>
            </w:r>
          </w:p>
        </w:tc>
      </w:tr>
      <w:tr w:rsidR="0024531A" w:rsidRPr="0024531A" w14:paraId="24A9F64B" w14:textId="77777777" w:rsidTr="00D51143">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95889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Saumon frais</w:t>
            </w:r>
          </w:p>
        </w:tc>
        <w:tc>
          <w:tcPr>
            <w:tcW w:w="1221" w:type="dxa"/>
            <w:tcBorders>
              <w:top w:val="nil"/>
              <w:left w:val="nil"/>
              <w:bottom w:val="single" w:sz="4" w:space="0" w:color="auto"/>
              <w:right w:val="single" w:sz="4" w:space="0" w:color="auto"/>
            </w:tcBorders>
            <w:shd w:val="clear" w:color="auto" w:fill="auto"/>
            <w:vAlign w:val="center"/>
            <w:hideMark/>
          </w:tcPr>
          <w:p w14:paraId="2EA54C2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CC204</w:t>
            </w:r>
          </w:p>
        </w:tc>
        <w:tc>
          <w:tcPr>
            <w:tcW w:w="1472" w:type="dxa"/>
            <w:tcBorders>
              <w:top w:val="nil"/>
              <w:left w:val="nil"/>
              <w:bottom w:val="single" w:sz="4" w:space="0" w:color="auto"/>
              <w:right w:val="single" w:sz="4" w:space="0" w:color="auto"/>
            </w:tcBorders>
            <w:shd w:val="clear" w:color="auto" w:fill="auto"/>
            <w:noWrap/>
            <w:vAlign w:val="center"/>
            <w:hideMark/>
          </w:tcPr>
          <w:p w14:paraId="1667BC28"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2</w:t>
            </w:r>
          </w:p>
        </w:tc>
      </w:tr>
      <w:tr w:rsidR="0024531A" w:rsidRPr="0024531A" w14:paraId="3AD8D553"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275A51B9"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vAlign w:val="center"/>
            <w:hideMark/>
          </w:tcPr>
          <w:p w14:paraId="4EFDDBB5"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1472" w:type="dxa"/>
            <w:tcBorders>
              <w:top w:val="nil"/>
              <w:left w:val="nil"/>
              <w:bottom w:val="single" w:sz="4" w:space="0" w:color="auto"/>
              <w:right w:val="single" w:sz="4" w:space="0" w:color="auto"/>
            </w:tcBorders>
            <w:shd w:val="clear" w:color="auto" w:fill="auto"/>
            <w:noWrap/>
            <w:vAlign w:val="center"/>
            <w:hideMark/>
          </w:tcPr>
          <w:p w14:paraId="7BE27CC0"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w:t>
            </w:r>
          </w:p>
        </w:tc>
      </w:tr>
      <w:tr w:rsidR="0024531A" w:rsidRPr="0024531A" w14:paraId="2A96BE82" w14:textId="77777777" w:rsidTr="00D51143">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B7CA97F"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Truite fumée</w:t>
            </w:r>
          </w:p>
        </w:tc>
        <w:tc>
          <w:tcPr>
            <w:tcW w:w="1221" w:type="dxa"/>
            <w:tcBorders>
              <w:top w:val="nil"/>
              <w:left w:val="nil"/>
              <w:bottom w:val="single" w:sz="4" w:space="0" w:color="auto"/>
              <w:right w:val="single" w:sz="4" w:space="0" w:color="auto"/>
            </w:tcBorders>
            <w:shd w:val="clear" w:color="auto" w:fill="auto"/>
            <w:noWrap/>
            <w:vAlign w:val="center"/>
            <w:hideMark/>
          </w:tcPr>
          <w:p w14:paraId="687F2688"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CC6</w:t>
            </w:r>
          </w:p>
        </w:tc>
        <w:tc>
          <w:tcPr>
            <w:tcW w:w="1472" w:type="dxa"/>
            <w:tcBorders>
              <w:top w:val="nil"/>
              <w:left w:val="nil"/>
              <w:bottom w:val="single" w:sz="4" w:space="0" w:color="auto"/>
              <w:right w:val="single" w:sz="4" w:space="0" w:color="auto"/>
            </w:tcBorders>
            <w:shd w:val="clear" w:color="auto" w:fill="auto"/>
            <w:noWrap/>
            <w:vAlign w:val="center"/>
            <w:hideMark/>
          </w:tcPr>
          <w:p w14:paraId="70F60E7D"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w:t>
            </w:r>
          </w:p>
        </w:tc>
      </w:tr>
      <w:tr w:rsidR="0024531A" w:rsidRPr="0024531A" w14:paraId="33BAD386"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741746AF"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3BFF9006"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CC9</w:t>
            </w:r>
          </w:p>
        </w:tc>
        <w:tc>
          <w:tcPr>
            <w:tcW w:w="1472" w:type="dxa"/>
            <w:tcBorders>
              <w:top w:val="nil"/>
              <w:left w:val="nil"/>
              <w:bottom w:val="single" w:sz="4" w:space="0" w:color="auto"/>
              <w:right w:val="single" w:sz="4" w:space="0" w:color="auto"/>
            </w:tcBorders>
            <w:shd w:val="clear" w:color="auto" w:fill="auto"/>
            <w:noWrap/>
            <w:vAlign w:val="center"/>
            <w:hideMark/>
          </w:tcPr>
          <w:p w14:paraId="5645181C"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8</w:t>
            </w:r>
          </w:p>
        </w:tc>
      </w:tr>
      <w:tr w:rsidR="0024531A" w:rsidRPr="0024531A" w14:paraId="2699AF88" w14:textId="77777777" w:rsidTr="00D51143">
        <w:trPr>
          <w:trHeight w:val="300"/>
        </w:trPr>
        <w:tc>
          <w:tcPr>
            <w:tcW w:w="353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517DFE" w14:textId="1B88D712"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 xml:space="preserve">Truite </w:t>
            </w:r>
            <w:r w:rsidR="00420825" w:rsidRPr="0024531A">
              <w:rPr>
                <w:rFonts w:ascii="Calibri" w:hAnsi="Calibri"/>
                <w:sz w:val="22"/>
                <w:szCs w:val="22"/>
              </w:rPr>
              <w:t>matière</w:t>
            </w:r>
            <w:r w:rsidRPr="0024531A">
              <w:rPr>
                <w:rFonts w:ascii="Calibri" w:hAnsi="Calibri"/>
                <w:sz w:val="22"/>
                <w:szCs w:val="22"/>
              </w:rPr>
              <w:t xml:space="preserve"> première</w:t>
            </w:r>
          </w:p>
        </w:tc>
        <w:tc>
          <w:tcPr>
            <w:tcW w:w="1221" w:type="dxa"/>
            <w:tcBorders>
              <w:top w:val="nil"/>
              <w:left w:val="nil"/>
              <w:bottom w:val="single" w:sz="4" w:space="0" w:color="auto"/>
              <w:right w:val="single" w:sz="4" w:space="0" w:color="auto"/>
            </w:tcBorders>
            <w:shd w:val="clear" w:color="auto" w:fill="auto"/>
            <w:noWrap/>
            <w:vAlign w:val="center"/>
            <w:hideMark/>
          </w:tcPr>
          <w:p w14:paraId="4E5B4999"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w:t>
            </w:r>
          </w:p>
        </w:tc>
        <w:tc>
          <w:tcPr>
            <w:tcW w:w="1472" w:type="dxa"/>
            <w:tcBorders>
              <w:top w:val="nil"/>
              <w:left w:val="nil"/>
              <w:bottom w:val="single" w:sz="4" w:space="0" w:color="auto"/>
              <w:right w:val="single" w:sz="4" w:space="0" w:color="auto"/>
            </w:tcBorders>
            <w:shd w:val="clear" w:color="auto" w:fill="auto"/>
            <w:noWrap/>
            <w:vAlign w:val="center"/>
            <w:hideMark/>
          </w:tcPr>
          <w:p w14:paraId="1F2341A2"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w:t>
            </w:r>
          </w:p>
        </w:tc>
      </w:tr>
      <w:tr w:rsidR="0024531A" w:rsidRPr="0024531A" w14:paraId="410B6276"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70EFB96A"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37A8FC83"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CC5</w:t>
            </w:r>
          </w:p>
        </w:tc>
        <w:tc>
          <w:tcPr>
            <w:tcW w:w="1472" w:type="dxa"/>
            <w:tcBorders>
              <w:top w:val="nil"/>
              <w:left w:val="nil"/>
              <w:bottom w:val="single" w:sz="4" w:space="0" w:color="auto"/>
              <w:right w:val="single" w:sz="4" w:space="0" w:color="auto"/>
            </w:tcBorders>
            <w:shd w:val="clear" w:color="auto" w:fill="auto"/>
            <w:noWrap/>
            <w:vAlign w:val="center"/>
            <w:hideMark/>
          </w:tcPr>
          <w:p w14:paraId="68EC01BB"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w:t>
            </w:r>
          </w:p>
        </w:tc>
      </w:tr>
      <w:tr w:rsidR="0024531A" w:rsidRPr="0024531A" w14:paraId="51BBC0F3"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6CCD288C"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15998157"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CC6</w:t>
            </w:r>
          </w:p>
        </w:tc>
        <w:tc>
          <w:tcPr>
            <w:tcW w:w="1472" w:type="dxa"/>
            <w:tcBorders>
              <w:top w:val="nil"/>
              <w:left w:val="nil"/>
              <w:bottom w:val="single" w:sz="4" w:space="0" w:color="auto"/>
              <w:right w:val="single" w:sz="4" w:space="0" w:color="auto"/>
            </w:tcBorders>
            <w:shd w:val="clear" w:color="auto" w:fill="auto"/>
            <w:noWrap/>
            <w:vAlign w:val="center"/>
            <w:hideMark/>
          </w:tcPr>
          <w:p w14:paraId="3D03B176"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3</w:t>
            </w:r>
          </w:p>
        </w:tc>
      </w:tr>
      <w:tr w:rsidR="0024531A" w:rsidRPr="0024531A" w14:paraId="4AC09141"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2AE61640"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57F06546"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CC9</w:t>
            </w:r>
          </w:p>
        </w:tc>
        <w:tc>
          <w:tcPr>
            <w:tcW w:w="1472" w:type="dxa"/>
            <w:tcBorders>
              <w:top w:val="nil"/>
              <w:left w:val="nil"/>
              <w:bottom w:val="single" w:sz="4" w:space="0" w:color="auto"/>
              <w:right w:val="single" w:sz="4" w:space="0" w:color="auto"/>
            </w:tcBorders>
            <w:shd w:val="clear" w:color="auto" w:fill="auto"/>
            <w:noWrap/>
            <w:vAlign w:val="center"/>
            <w:hideMark/>
          </w:tcPr>
          <w:p w14:paraId="3C6A07F8"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w:t>
            </w:r>
          </w:p>
        </w:tc>
      </w:tr>
      <w:tr w:rsidR="0024531A" w:rsidRPr="0024531A" w14:paraId="2BE53D42"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5891547C"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5A630C23"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CC37</w:t>
            </w:r>
          </w:p>
        </w:tc>
        <w:tc>
          <w:tcPr>
            <w:tcW w:w="1472" w:type="dxa"/>
            <w:tcBorders>
              <w:top w:val="nil"/>
              <w:left w:val="nil"/>
              <w:bottom w:val="single" w:sz="4" w:space="0" w:color="auto"/>
              <w:right w:val="single" w:sz="4" w:space="0" w:color="auto"/>
            </w:tcBorders>
            <w:shd w:val="clear" w:color="auto" w:fill="auto"/>
            <w:noWrap/>
            <w:vAlign w:val="center"/>
            <w:hideMark/>
          </w:tcPr>
          <w:p w14:paraId="24D5748E"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w:t>
            </w:r>
          </w:p>
        </w:tc>
      </w:tr>
      <w:tr w:rsidR="0024531A" w:rsidRPr="0024531A" w14:paraId="7F152476"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146BE65E"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0A717261"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CC54</w:t>
            </w:r>
          </w:p>
        </w:tc>
        <w:tc>
          <w:tcPr>
            <w:tcW w:w="1472" w:type="dxa"/>
            <w:tcBorders>
              <w:top w:val="nil"/>
              <w:left w:val="nil"/>
              <w:bottom w:val="single" w:sz="4" w:space="0" w:color="auto"/>
              <w:right w:val="single" w:sz="4" w:space="0" w:color="auto"/>
            </w:tcBorders>
            <w:shd w:val="clear" w:color="auto" w:fill="auto"/>
            <w:noWrap/>
            <w:vAlign w:val="center"/>
            <w:hideMark/>
          </w:tcPr>
          <w:p w14:paraId="3D3D98A1"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2</w:t>
            </w:r>
          </w:p>
        </w:tc>
      </w:tr>
      <w:tr w:rsidR="0024531A" w:rsidRPr="0024531A" w14:paraId="606CF7E7" w14:textId="77777777" w:rsidTr="00D51143">
        <w:trPr>
          <w:trHeight w:val="300"/>
        </w:trPr>
        <w:tc>
          <w:tcPr>
            <w:tcW w:w="3539" w:type="dxa"/>
            <w:vMerge/>
            <w:tcBorders>
              <w:top w:val="nil"/>
              <w:left w:val="single" w:sz="4" w:space="0" w:color="auto"/>
              <w:bottom w:val="single" w:sz="4" w:space="0" w:color="auto"/>
              <w:right w:val="single" w:sz="4" w:space="0" w:color="auto"/>
            </w:tcBorders>
            <w:vAlign w:val="center"/>
            <w:hideMark/>
          </w:tcPr>
          <w:p w14:paraId="6924CA1C" w14:textId="77777777" w:rsidR="0024531A" w:rsidRPr="0024531A" w:rsidRDefault="0024531A" w:rsidP="0024531A">
            <w:pPr>
              <w:spacing w:line="240" w:lineRule="auto"/>
              <w:jc w:val="left"/>
              <w:rPr>
                <w:rFonts w:ascii="Calibri" w:hAnsi="Calibri"/>
                <w:sz w:val="22"/>
                <w:szCs w:val="22"/>
              </w:rPr>
            </w:pPr>
          </w:p>
        </w:tc>
        <w:tc>
          <w:tcPr>
            <w:tcW w:w="1221" w:type="dxa"/>
            <w:tcBorders>
              <w:top w:val="nil"/>
              <w:left w:val="nil"/>
              <w:bottom w:val="single" w:sz="4" w:space="0" w:color="auto"/>
              <w:right w:val="single" w:sz="4" w:space="0" w:color="auto"/>
            </w:tcBorders>
            <w:shd w:val="clear" w:color="auto" w:fill="auto"/>
            <w:noWrap/>
            <w:vAlign w:val="center"/>
            <w:hideMark/>
          </w:tcPr>
          <w:p w14:paraId="436A8F21"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CC191</w:t>
            </w:r>
          </w:p>
        </w:tc>
        <w:tc>
          <w:tcPr>
            <w:tcW w:w="1472" w:type="dxa"/>
            <w:tcBorders>
              <w:top w:val="nil"/>
              <w:left w:val="nil"/>
              <w:bottom w:val="single" w:sz="4" w:space="0" w:color="auto"/>
              <w:right w:val="single" w:sz="4" w:space="0" w:color="auto"/>
            </w:tcBorders>
            <w:shd w:val="clear" w:color="auto" w:fill="auto"/>
            <w:noWrap/>
            <w:vAlign w:val="center"/>
            <w:hideMark/>
          </w:tcPr>
          <w:p w14:paraId="6A01C199"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2</w:t>
            </w:r>
          </w:p>
        </w:tc>
      </w:tr>
    </w:tbl>
    <w:p w14:paraId="780F2D3D" w14:textId="24E5C524" w:rsidR="00333FF6" w:rsidRDefault="00333FF6" w:rsidP="00FC0CD4">
      <w:pPr>
        <w:rPr>
          <w:iCs/>
          <w:color w:val="000000"/>
        </w:rPr>
      </w:pPr>
    </w:p>
    <w:p w14:paraId="3F5070CE" w14:textId="2FF8C60E" w:rsidR="00631F94" w:rsidRDefault="00D51143" w:rsidP="00FC0CD4">
      <w:pPr>
        <w:rPr>
          <w:iCs/>
          <w:color w:val="000000"/>
        </w:rPr>
      </w:pPr>
      <w:r>
        <w:rPr>
          <w:iCs/>
          <w:color w:val="000000"/>
        </w:rPr>
        <w:t>Ensuite, nous avons évalué</w:t>
      </w:r>
      <w:r w:rsidR="0039794A">
        <w:rPr>
          <w:iCs/>
          <w:color w:val="000000"/>
        </w:rPr>
        <w:t xml:space="preserve"> la </w:t>
      </w:r>
      <w:r>
        <w:rPr>
          <w:iCs/>
          <w:color w:val="000000"/>
        </w:rPr>
        <w:t>diversité</w:t>
      </w:r>
      <w:r w:rsidR="0039794A">
        <w:rPr>
          <w:iCs/>
          <w:color w:val="000000"/>
        </w:rPr>
        <w:t xml:space="preserve"> des </w:t>
      </w:r>
      <w:proofErr w:type="spellStart"/>
      <w:r w:rsidR="0039794A">
        <w:rPr>
          <w:iCs/>
          <w:color w:val="000000"/>
        </w:rPr>
        <w:t>CCs</w:t>
      </w:r>
      <w:proofErr w:type="spellEnd"/>
      <w:r w:rsidR="0039794A">
        <w:rPr>
          <w:iCs/>
          <w:color w:val="000000"/>
        </w:rPr>
        <w:t xml:space="preserve"> de </w:t>
      </w:r>
      <w:r w:rsidR="0039794A" w:rsidRPr="00631F94">
        <w:rPr>
          <w:i/>
          <w:iCs/>
          <w:color w:val="000000"/>
        </w:rPr>
        <w:t xml:space="preserve">L. </w:t>
      </w:r>
      <w:proofErr w:type="spellStart"/>
      <w:r w:rsidR="0039794A" w:rsidRPr="00631F94">
        <w:rPr>
          <w:i/>
          <w:iCs/>
          <w:color w:val="000000"/>
        </w:rPr>
        <w:t>monocytogenes</w:t>
      </w:r>
      <w:proofErr w:type="spellEnd"/>
      <w:r w:rsidR="0039794A">
        <w:rPr>
          <w:iCs/>
          <w:color w:val="000000"/>
        </w:rPr>
        <w:t xml:space="preserve"> selon l’entreprise </w:t>
      </w:r>
      <w:r>
        <w:rPr>
          <w:iCs/>
          <w:color w:val="000000"/>
        </w:rPr>
        <w:t>dans laquelle les échantillons ont été réalisés</w:t>
      </w:r>
      <w:r w:rsidR="0039794A">
        <w:rPr>
          <w:iCs/>
          <w:color w:val="000000"/>
        </w:rPr>
        <w:t xml:space="preserve"> (</w:t>
      </w:r>
      <w:r w:rsidR="00803E1F">
        <w:rPr>
          <w:iCs/>
          <w:color w:val="000000"/>
        </w:rPr>
        <w:t>9 entreprises</w:t>
      </w:r>
      <w:r w:rsidR="0039794A">
        <w:rPr>
          <w:iCs/>
          <w:color w:val="000000"/>
        </w:rPr>
        <w:t>) (</w:t>
      </w:r>
      <w:r w:rsidR="00803E1F">
        <w:rPr>
          <w:iCs/>
          <w:color w:val="000000"/>
        </w:rPr>
        <w:fldChar w:fldCharType="begin"/>
      </w:r>
      <w:r w:rsidR="00803E1F">
        <w:rPr>
          <w:iCs/>
          <w:color w:val="000000"/>
        </w:rPr>
        <w:instrText xml:space="preserve"> REF _Ref70683730 \h </w:instrText>
      </w:r>
      <w:r w:rsidR="00803E1F">
        <w:rPr>
          <w:iCs/>
          <w:color w:val="000000"/>
        </w:rPr>
      </w:r>
      <w:r w:rsidR="00803E1F">
        <w:rPr>
          <w:iCs/>
          <w:color w:val="000000"/>
        </w:rPr>
        <w:fldChar w:fldCharType="separate"/>
      </w:r>
      <w:r w:rsidR="00803E1F">
        <w:t xml:space="preserve">Tableau </w:t>
      </w:r>
      <w:r w:rsidR="00803E1F">
        <w:rPr>
          <w:noProof/>
        </w:rPr>
        <w:t>4</w:t>
      </w:r>
      <w:r w:rsidR="00803E1F">
        <w:rPr>
          <w:iCs/>
          <w:color w:val="000000"/>
        </w:rPr>
        <w:fldChar w:fldCharType="end"/>
      </w:r>
      <w:r w:rsidR="0039794A">
        <w:rPr>
          <w:iCs/>
          <w:color w:val="000000"/>
        </w:rPr>
        <w:t xml:space="preserve">). </w:t>
      </w:r>
      <w:r w:rsidR="00803E1F">
        <w:rPr>
          <w:iCs/>
          <w:color w:val="000000"/>
        </w:rPr>
        <w:t>Concernant les</w:t>
      </w:r>
      <w:r w:rsidR="0039794A">
        <w:rPr>
          <w:iCs/>
          <w:color w:val="000000"/>
        </w:rPr>
        <w:t xml:space="preserve"> trois </w:t>
      </w:r>
      <w:proofErr w:type="spellStart"/>
      <w:r w:rsidR="0039794A">
        <w:rPr>
          <w:iCs/>
          <w:color w:val="000000"/>
        </w:rPr>
        <w:t>CC</w:t>
      </w:r>
      <w:r>
        <w:rPr>
          <w:iCs/>
          <w:color w:val="000000"/>
        </w:rPr>
        <w:t>s</w:t>
      </w:r>
      <w:proofErr w:type="spellEnd"/>
      <w:r w:rsidR="0039794A">
        <w:rPr>
          <w:iCs/>
          <w:color w:val="000000"/>
        </w:rPr>
        <w:t xml:space="preserve"> les plus fréquemment </w:t>
      </w:r>
      <w:r>
        <w:rPr>
          <w:iCs/>
          <w:color w:val="000000"/>
        </w:rPr>
        <w:t>identifiés</w:t>
      </w:r>
      <w:r w:rsidR="0039794A">
        <w:rPr>
          <w:iCs/>
          <w:color w:val="000000"/>
        </w:rPr>
        <w:t xml:space="preserve"> dans cette étude (CC121, CC26 et CC2</w:t>
      </w:r>
      <w:r w:rsidR="00803E1F">
        <w:rPr>
          <w:iCs/>
          <w:color w:val="000000"/>
        </w:rPr>
        <w:t>04</w:t>
      </w:r>
      <w:r>
        <w:rPr>
          <w:iCs/>
          <w:color w:val="000000"/>
        </w:rPr>
        <w:t>)</w:t>
      </w:r>
      <w:r w:rsidR="00803E1F">
        <w:rPr>
          <w:iCs/>
          <w:color w:val="000000"/>
        </w:rPr>
        <w:t>, le CC121 a été trouvé dans toute</w:t>
      </w:r>
      <w:r>
        <w:rPr>
          <w:iCs/>
          <w:color w:val="000000"/>
        </w:rPr>
        <w:t>s</w:t>
      </w:r>
      <w:r w:rsidR="00803E1F">
        <w:rPr>
          <w:iCs/>
          <w:color w:val="000000"/>
        </w:rPr>
        <w:t xml:space="preserve"> les entreprises de transformation du saumon (7/9 entreprises)</w:t>
      </w:r>
      <w:r w:rsidR="0039794A">
        <w:rPr>
          <w:iCs/>
          <w:color w:val="000000"/>
        </w:rPr>
        <w:t>.</w:t>
      </w:r>
      <w:r w:rsidR="00803E1F">
        <w:rPr>
          <w:iCs/>
          <w:color w:val="000000"/>
        </w:rPr>
        <w:t xml:space="preserve"> En revanche, le CC26 n’a été </w:t>
      </w:r>
      <w:r>
        <w:rPr>
          <w:iCs/>
          <w:color w:val="000000"/>
        </w:rPr>
        <w:t>identifié</w:t>
      </w:r>
      <w:r w:rsidR="00803E1F">
        <w:rPr>
          <w:iCs/>
          <w:color w:val="000000"/>
        </w:rPr>
        <w:t xml:space="preserve"> que dans 3 entreprises sur 9 et le CC204 dans seulement 2 entreprises sur 9. L</w:t>
      </w:r>
      <w:r w:rsidR="00FE7A12">
        <w:rPr>
          <w:iCs/>
          <w:color w:val="000000"/>
        </w:rPr>
        <w:t>e</w:t>
      </w:r>
      <w:r w:rsidR="00803E1F">
        <w:rPr>
          <w:iCs/>
          <w:color w:val="000000"/>
        </w:rPr>
        <w:t xml:space="preserve"> CC9 a été </w:t>
      </w:r>
      <w:r>
        <w:rPr>
          <w:iCs/>
          <w:color w:val="000000"/>
        </w:rPr>
        <w:t xml:space="preserve">identifié </w:t>
      </w:r>
      <w:r w:rsidR="00803E1F">
        <w:rPr>
          <w:iCs/>
          <w:color w:val="000000"/>
        </w:rPr>
        <w:t>dans les deux entreprise</w:t>
      </w:r>
      <w:r w:rsidR="005920BB">
        <w:rPr>
          <w:iCs/>
          <w:color w:val="000000"/>
        </w:rPr>
        <w:t>s</w:t>
      </w:r>
      <w:r w:rsidR="00803E1F">
        <w:rPr>
          <w:iCs/>
          <w:color w:val="000000"/>
        </w:rPr>
        <w:t xml:space="preserve"> de transformation de la truite alors que le</w:t>
      </w:r>
      <w:r>
        <w:rPr>
          <w:iCs/>
          <w:color w:val="000000"/>
        </w:rPr>
        <w:t>s</w:t>
      </w:r>
      <w:r w:rsidR="00803E1F">
        <w:rPr>
          <w:iCs/>
          <w:color w:val="000000"/>
        </w:rPr>
        <w:t xml:space="preserve"> CC1 et le CC6 ont été </w:t>
      </w:r>
      <w:r>
        <w:rPr>
          <w:iCs/>
          <w:color w:val="000000"/>
        </w:rPr>
        <w:t xml:space="preserve">identifiés </w:t>
      </w:r>
      <w:r w:rsidR="005920BB">
        <w:rPr>
          <w:iCs/>
          <w:color w:val="000000"/>
        </w:rPr>
        <w:t xml:space="preserve">dans </w:t>
      </w:r>
      <w:r w:rsidR="00803E1F">
        <w:rPr>
          <w:iCs/>
          <w:color w:val="000000"/>
        </w:rPr>
        <w:t>une</w:t>
      </w:r>
      <w:r w:rsidR="00742BD8">
        <w:rPr>
          <w:iCs/>
          <w:color w:val="000000"/>
        </w:rPr>
        <w:t xml:space="preserve"> seule</w:t>
      </w:r>
      <w:r w:rsidR="00803E1F">
        <w:rPr>
          <w:iCs/>
          <w:color w:val="000000"/>
        </w:rPr>
        <w:t xml:space="preserve"> entreprise</w:t>
      </w:r>
      <w:r>
        <w:rPr>
          <w:iCs/>
          <w:color w:val="000000"/>
        </w:rPr>
        <w:t>.</w:t>
      </w:r>
    </w:p>
    <w:p w14:paraId="02EC2114" w14:textId="77777777" w:rsidR="000521DF" w:rsidRDefault="000521DF" w:rsidP="00FC0CD4">
      <w:pPr>
        <w:rPr>
          <w:iCs/>
          <w:color w:val="000000"/>
        </w:rPr>
      </w:pPr>
    </w:p>
    <w:p w14:paraId="71AAA739" w14:textId="50929EBF" w:rsidR="000521DF" w:rsidRDefault="000521DF" w:rsidP="000521DF">
      <w:pPr>
        <w:pStyle w:val="Lgende"/>
        <w:rPr>
          <w:iCs/>
          <w:color w:val="000000"/>
        </w:rPr>
      </w:pPr>
      <w:bookmarkStart w:id="47" w:name="_Ref70683730"/>
      <w:bookmarkStart w:id="48" w:name="_Toc70681280"/>
      <w:bookmarkStart w:id="49" w:name="_Toc73027714"/>
      <w:r>
        <w:t xml:space="preserve">Tableau </w:t>
      </w:r>
      <w:r w:rsidR="00657B21">
        <w:fldChar w:fldCharType="begin"/>
      </w:r>
      <w:r w:rsidR="00657B21">
        <w:instrText xml:space="preserve"> SEQ Tableau \* ARABIC </w:instrText>
      </w:r>
      <w:r w:rsidR="00657B21">
        <w:fldChar w:fldCharType="separate"/>
      </w:r>
      <w:r w:rsidR="003E5038">
        <w:rPr>
          <w:noProof/>
        </w:rPr>
        <w:t>4</w:t>
      </w:r>
      <w:r w:rsidR="00657B21">
        <w:rPr>
          <w:noProof/>
        </w:rPr>
        <w:fldChar w:fldCharType="end"/>
      </w:r>
      <w:bookmarkEnd w:id="47"/>
      <w:r>
        <w:t> : D</w:t>
      </w:r>
      <w:r w:rsidRPr="003E6FE2">
        <w:t>iversité génétique</w:t>
      </w:r>
      <w:r>
        <w:t xml:space="preserve"> des souches de </w:t>
      </w:r>
      <w:r w:rsidRPr="00CC7A70">
        <w:rPr>
          <w:i/>
        </w:rPr>
        <w:t xml:space="preserve">L. </w:t>
      </w:r>
      <w:proofErr w:type="spellStart"/>
      <w:r w:rsidRPr="00CC7A70">
        <w:rPr>
          <w:i/>
        </w:rPr>
        <w:t>monocytogenes</w:t>
      </w:r>
      <w:proofErr w:type="spellEnd"/>
      <w:r w:rsidRPr="003E6FE2">
        <w:t xml:space="preserve"> </w:t>
      </w:r>
      <w:r w:rsidR="00D51143">
        <w:t>sélectionné</w:t>
      </w:r>
      <w:r w:rsidR="004A0F4E">
        <w:t>e</w:t>
      </w:r>
      <w:r w:rsidR="00D51143">
        <w:t>s</w:t>
      </w:r>
      <w:bookmarkEnd w:id="48"/>
      <w:r w:rsidR="00D51143">
        <w:t xml:space="preserve"> en fonction de l’entreprise</w:t>
      </w:r>
      <w:r w:rsidR="004A0F4E">
        <w:t xml:space="preserve"> dans laquelle les prélèvements avaient été réalisés dans de précédents projets de recherche</w:t>
      </w:r>
      <w:bookmarkEnd w:id="49"/>
    </w:p>
    <w:tbl>
      <w:tblPr>
        <w:tblW w:w="7083" w:type="dxa"/>
        <w:tblCellMar>
          <w:left w:w="70" w:type="dxa"/>
          <w:right w:w="70" w:type="dxa"/>
        </w:tblCellMar>
        <w:tblLook w:val="04A0" w:firstRow="1" w:lastRow="0" w:firstColumn="1" w:lastColumn="0" w:noHBand="0" w:noVBand="1"/>
      </w:tblPr>
      <w:tblGrid>
        <w:gridCol w:w="2380"/>
        <w:gridCol w:w="2380"/>
        <w:gridCol w:w="2323"/>
      </w:tblGrid>
      <w:tr w:rsidR="0024531A" w:rsidRPr="0024531A" w14:paraId="4D3F1ED2" w14:textId="77777777" w:rsidTr="000F765D">
        <w:trPr>
          <w:trHeight w:val="600"/>
        </w:trPr>
        <w:tc>
          <w:tcPr>
            <w:tcW w:w="2380" w:type="dxa"/>
            <w:tcBorders>
              <w:top w:val="single" w:sz="4" w:space="0" w:color="auto"/>
              <w:left w:val="single" w:sz="4" w:space="0" w:color="auto"/>
              <w:bottom w:val="single" w:sz="4" w:space="0" w:color="auto"/>
              <w:right w:val="single" w:sz="4" w:space="0" w:color="auto"/>
            </w:tcBorders>
            <w:shd w:val="clear" w:color="000000" w:fill="A6A6A6"/>
            <w:vAlign w:val="center"/>
            <w:hideMark/>
          </w:tcPr>
          <w:p w14:paraId="7947866D" w14:textId="24A7432D" w:rsidR="0024531A" w:rsidRPr="0024531A" w:rsidRDefault="0024531A" w:rsidP="000F765D">
            <w:pPr>
              <w:spacing w:line="240" w:lineRule="auto"/>
              <w:jc w:val="center"/>
              <w:rPr>
                <w:rFonts w:ascii="Calibri" w:hAnsi="Calibri"/>
                <w:sz w:val="22"/>
                <w:szCs w:val="22"/>
              </w:rPr>
            </w:pPr>
            <w:r w:rsidRPr="0024531A">
              <w:rPr>
                <w:rFonts w:ascii="Calibri" w:hAnsi="Calibri"/>
                <w:sz w:val="22"/>
                <w:szCs w:val="22"/>
              </w:rPr>
              <w:t xml:space="preserve">Entreprise </w:t>
            </w:r>
            <w:r w:rsidR="00803E1F">
              <w:rPr>
                <w:rFonts w:ascii="Calibri" w:hAnsi="Calibri"/>
                <w:sz w:val="22"/>
                <w:szCs w:val="22"/>
              </w:rPr>
              <w:t>(Filière)</w:t>
            </w:r>
          </w:p>
        </w:tc>
        <w:tc>
          <w:tcPr>
            <w:tcW w:w="2380" w:type="dxa"/>
            <w:tcBorders>
              <w:top w:val="single" w:sz="4" w:space="0" w:color="auto"/>
              <w:left w:val="nil"/>
              <w:bottom w:val="single" w:sz="4" w:space="0" w:color="auto"/>
              <w:right w:val="single" w:sz="4" w:space="0" w:color="auto"/>
            </w:tcBorders>
            <w:shd w:val="clear" w:color="000000" w:fill="A6A6A6"/>
            <w:vAlign w:val="center"/>
            <w:hideMark/>
          </w:tcPr>
          <w:p w14:paraId="47FCFACF"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Complexes clonaux</w:t>
            </w:r>
          </w:p>
        </w:tc>
        <w:tc>
          <w:tcPr>
            <w:tcW w:w="2323" w:type="dxa"/>
            <w:tcBorders>
              <w:top w:val="single" w:sz="4" w:space="0" w:color="auto"/>
              <w:left w:val="nil"/>
              <w:bottom w:val="single" w:sz="4" w:space="0" w:color="auto"/>
              <w:right w:val="single" w:sz="4" w:space="0" w:color="auto"/>
            </w:tcBorders>
            <w:shd w:val="clear" w:color="000000" w:fill="A6A6A6"/>
            <w:vAlign w:val="center"/>
            <w:hideMark/>
          </w:tcPr>
          <w:p w14:paraId="4F2EB0BD"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Nombre de souches</w:t>
            </w:r>
          </w:p>
        </w:tc>
      </w:tr>
      <w:tr w:rsidR="0024531A" w:rsidRPr="0024531A" w14:paraId="32CC27A3" w14:textId="77777777" w:rsidTr="000F765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098E482B" w14:textId="65C016A2"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A</w:t>
            </w:r>
            <w:r w:rsidR="00803E1F">
              <w:rPr>
                <w:rFonts w:ascii="Calibri" w:hAnsi="Calibri"/>
                <w:sz w:val="22"/>
                <w:szCs w:val="22"/>
              </w:rPr>
              <w:t xml:space="preserve"> (Truite)</w:t>
            </w:r>
          </w:p>
        </w:tc>
        <w:tc>
          <w:tcPr>
            <w:tcW w:w="2380" w:type="dxa"/>
            <w:tcBorders>
              <w:top w:val="nil"/>
              <w:left w:val="nil"/>
              <w:bottom w:val="single" w:sz="4" w:space="0" w:color="auto"/>
              <w:right w:val="single" w:sz="4" w:space="0" w:color="auto"/>
            </w:tcBorders>
            <w:shd w:val="clear" w:color="auto" w:fill="auto"/>
            <w:noWrap/>
            <w:vAlign w:val="center"/>
            <w:hideMark/>
          </w:tcPr>
          <w:p w14:paraId="32733FFC" w14:textId="71AC4F52" w:rsidR="0024531A" w:rsidRPr="0024531A" w:rsidRDefault="00420825" w:rsidP="0024531A">
            <w:pPr>
              <w:spacing w:line="240" w:lineRule="auto"/>
              <w:jc w:val="center"/>
              <w:rPr>
                <w:rFonts w:ascii="Calibri" w:hAnsi="Calibri"/>
                <w:sz w:val="22"/>
                <w:szCs w:val="22"/>
              </w:rPr>
            </w:pPr>
            <w:r>
              <w:rPr>
                <w:rFonts w:ascii="Calibri" w:hAnsi="Calibri"/>
                <w:sz w:val="22"/>
                <w:szCs w:val="22"/>
              </w:rPr>
              <w:t>CC9</w:t>
            </w:r>
          </w:p>
        </w:tc>
        <w:tc>
          <w:tcPr>
            <w:tcW w:w="2323" w:type="dxa"/>
            <w:tcBorders>
              <w:top w:val="nil"/>
              <w:left w:val="nil"/>
              <w:bottom w:val="single" w:sz="4" w:space="0" w:color="auto"/>
              <w:right w:val="single" w:sz="4" w:space="0" w:color="auto"/>
            </w:tcBorders>
            <w:shd w:val="clear" w:color="auto" w:fill="auto"/>
            <w:noWrap/>
            <w:vAlign w:val="center"/>
            <w:hideMark/>
          </w:tcPr>
          <w:p w14:paraId="0A6A806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3</w:t>
            </w:r>
          </w:p>
        </w:tc>
      </w:tr>
      <w:tr w:rsidR="0024531A" w:rsidRPr="0024531A" w14:paraId="1E8784A9" w14:textId="77777777" w:rsidTr="000F765D">
        <w:trPr>
          <w:trHeight w:val="300"/>
        </w:trPr>
        <w:tc>
          <w:tcPr>
            <w:tcW w:w="2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19719A" w14:textId="07063AF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B</w:t>
            </w:r>
            <w:r w:rsidR="00803E1F">
              <w:rPr>
                <w:rFonts w:ascii="Calibri" w:hAnsi="Calibri"/>
                <w:sz w:val="22"/>
                <w:szCs w:val="22"/>
              </w:rPr>
              <w:t xml:space="preserve"> (Saumon)</w:t>
            </w:r>
          </w:p>
        </w:tc>
        <w:tc>
          <w:tcPr>
            <w:tcW w:w="2380" w:type="dxa"/>
            <w:tcBorders>
              <w:top w:val="nil"/>
              <w:left w:val="nil"/>
              <w:bottom w:val="single" w:sz="4" w:space="0" w:color="auto"/>
              <w:right w:val="single" w:sz="4" w:space="0" w:color="auto"/>
            </w:tcBorders>
            <w:shd w:val="clear" w:color="auto" w:fill="auto"/>
            <w:noWrap/>
            <w:vAlign w:val="center"/>
            <w:hideMark/>
          </w:tcPr>
          <w:p w14:paraId="34281589"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CC5</w:t>
            </w:r>
          </w:p>
        </w:tc>
        <w:tc>
          <w:tcPr>
            <w:tcW w:w="2323" w:type="dxa"/>
            <w:tcBorders>
              <w:top w:val="nil"/>
              <w:left w:val="nil"/>
              <w:bottom w:val="single" w:sz="4" w:space="0" w:color="auto"/>
              <w:right w:val="single" w:sz="4" w:space="0" w:color="auto"/>
            </w:tcBorders>
            <w:shd w:val="clear" w:color="auto" w:fill="auto"/>
            <w:noWrap/>
            <w:vAlign w:val="center"/>
            <w:hideMark/>
          </w:tcPr>
          <w:p w14:paraId="00CEF487"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w:t>
            </w:r>
          </w:p>
        </w:tc>
      </w:tr>
      <w:tr w:rsidR="0024531A" w:rsidRPr="0024531A" w14:paraId="7911DB4B"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4FF901EA"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1ECB4E08"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CC26</w:t>
            </w:r>
          </w:p>
        </w:tc>
        <w:tc>
          <w:tcPr>
            <w:tcW w:w="2323" w:type="dxa"/>
            <w:tcBorders>
              <w:top w:val="nil"/>
              <w:left w:val="nil"/>
              <w:bottom w:val="single" w:sz="4" w:space="0" w:color="auto"/>
              <w:right w:val="single" w:sz="4" w:space="0" w:color="auto"/>
            </w:tcBorders>
            <w:shd w:val="clear" w:color="auto" w:fill="auto"/>
            <w:noWrap/>
            <w:vAlign w:val="center"/>
            <w:hideMark/>
          </w:tcPr>
          <w:p w14:paraId="787D46CB"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3</w:t>
            </w:r>
          </w:p>
        </w:tc>
      </w:tr>
      <w:tr w:rsidR="0024531A" w:rsidRPr="0024531A" w14:paraId="0F59E1D3"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3D16CEB2"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2F0465A5"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2323" w:type="dxa"/>
            <w:tcBorders>
              <w:top w:val="nil"/>
              <w:left w:val="nil"/>
              <w:bottom w:val="single" w:sz="4" w:space="0" w:color="auto"/>
              <w:right w:val="single" w:sz="4" w:space="0" w:color="auto"/>
            </w:tcBorders>
            <w:shd w:val="clear" w:color="auto" w:fill="auto"/>
            <w:noWrap/>
            <w:vAlign w:val="center"/>
            <w:hideMark/>
          </w:tcPr>
          <w:p w14:paraId="56BC42C2"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52</w:t>
            </w:r>
          </w:p>
        </w:tc>
      </w:tr>
      <w:tr w:rsidR="0024531A" w:rsidRPr="0024531A" w14:paraId="515173B0" w14:textId="77777777" w:rsidTr="000F765D">
        <w:trPr>
          <w:trHeight w:val="300"/>
        </w:trPr>
        <w:tc>
          <w:tcPr>
            <w:tcW w:w="2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390ADC" w14:textId="4086A631"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C</w:t>
            </w:r>
            <w:r w:rsidR="00803E1F">
              <w:rPr>
                <w:rFonts w:ascii="Calibri" w:hAnsi="Calibri"/>
                <w:sz w:val="22"/>
                <w:szCs w:val="22"/>
              </w:rPr>
              <w:t xml:space="preserve"> (Truite)</w:t>
            </w:r>
          </w:p>
        </w:tc>
        <w:tc>
          <w:tcPr>
            <w:tcW w:w="2380" w:type="dxa"/>
            <w:tcBorders>
              <w:top w:val="nil"/>
              <w:left w:val="nil"/>
              <w:bottom w:val="single" w:sz="4" w:space="0" w:color="auto"/>
              <w:right w:val="single" w:sz="4" w:space="0" w:color="auto"/>
            </w:tcBorders>
            <w:shd w:val="clear" w:color="auto" w:fill="auto"/>
            <w:noWrap/>
            <w:vAlign w:val="center"/>
            <w:hideMark/>
          </w:tcPr>
          <w:p w14:paraId="55625E08"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w:t>
            </w:r>
          </w:p>
        </w:tc>
        <w:tc>
          <w:tcPr>
            <w:tcW w:w="2323" w:type="dxa"/>
            <w:tcBorders>
              <w:top w:val="nil"/>
              <w:left w:val="nil"/>
              <w:bottom w:val="single" w:sz="4" w:space="0" w:color="auto"/>
              <w:right w:val="single" w:sz="4" w:space="0" w:color="auto"/>
            </w:tcBorders>
            <w:shd w:val="clear" w:color="auto" w:fill="auto"/>
            <w:noWrap/>
            <w:vAlign w:val="center"/>
            <w:hideMark/>
          </w:tcPr>
          <w:p w14:paraId="39BE370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w:t>
            </w:r>
          </w:p>
        </w:tc>
      </w:tr>
      <w:tr w:rsidR="0024531A" w:rsidRPr="0024531A" w14:paraId="1B4C1980"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3CCFFB9B"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11F44CE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CC5</w:t>
            </w:r>
          </w:p>
        </w:tc>
        <w:tc>
          <w:tcPr>
            <w:tcW w:w="2323" w:type="dxa"/>
            <w:tcBorders>
              <w:top w:val="nil"/>
              <w:left w:val="nil"/>
              <w:bottom w:val="single" w:sz="4" w:space="0" w:color="auto"/>
              <w:right w:val="single" w:sz="4" w:space="0" w:color="auto"/>
            </w:tcBorders>
            <w:shd w:val="clear" w:color="auto" w:fill="auto"/>
            <w:noWrap/>
            <w:vAlign w:val="center"/>
            <w:hideMark/>
          </w:tcPr>
          <w:p w14:paraId="643689A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w:t>
            </w:r>
          </w:p>
        </w:tc>
      </w:tr>
      <w:tr w:rsidR="0024531A" w:rsidRPr="0024531A" w14:paraId="0E840B0A"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517AF5B4"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7530C8B0"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CC6</w:t>
            </w:r>
          </w:p>
        </w:tc>
        <w:tc>
          <w:tcPr>
            <w:tcW w:w="2323" w:type="dxa"/>
            <w:tcBorders>
              <w:top w:val="nil"/>
              <w:left w:val="nil"/>
              <w:bottom w:val="single" w:sz="4" w:space="0" w:color="auto"/>
              <w:right w:val="single" w:sz="4" w:space="0" w:color="auto"/>
            </w:tcBorders>
            <w:shd w:val="clear" w:color="auto" w:fill="auto"/>
            <w:noWrap/>
            <w:vAlign w:val="center"/>
            <w:hideMark/>
          </w:tcPr>
          <w:p w14:paraId="6B900105"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w:t>
            </w:r>
          </w:p>
        </w:tc>
      </w:tr>
      <w:tr w:rsidR="0024531A" w:rsidRPr="0024531A" w14:paraId="09852A2B"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7AA83999"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22B6A0E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CC9</w:t>
            </w:r>
          </w:p>
        </w:tc>
        <w:tc>
          <w:tcPr>
            <w:tcW w:w="2323" w:type="dxa"/>
            <w:tcBorders>
              <w:top w:val="nil"/>
              <w:left w:val="nil"/>
              <w:bottom w:val="single" w:sz="4" w:space="0" w:color="auto"/>
              <w:right w:val="single" w:sz="4" w:space="0" w:color="auto"/>
            </w:tcBorders>
            <w:shd w:val="clear" w:color="auto" w:fill="auto"/>
            <w:noWrap/>
            <w:vAlign w:val="center"/>
            <w:hideMark/>
          </w:tcPr>
          <w:p w14:paraId="5347EE13"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6</w:t>
            </w:r>
          </w:p>
        </w:tc>
      </w:tr>
      <w:tr w:rsidR="0024531A" w:rsidRPr="0024531A" w14:paraId="3E1EFFD4"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54AF703D"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6971ABF9"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CC54</w:t>
            </w:r>
          </w:p>
        </w:tc>
        <w:tc>
          <w:tcPr>
            <w:tcW w:w="2323" w:type="dxa"/>
            <w:tcBorders>
              <w:top w:val="nil"/>
              <w:left w:val="nil"/>
              <w:bottom w:val="single" w:sz="4" w:space="0" w:color="auto"/>
              <w:right w:val="single" w:sz="4" w:space="0" w:color="auto"/>
            </w:tcBorders>
            <w:shd w:val="clear" w:color="auto" w:fill="auto"/>
            <w:noWrap/>
            <w:vAlign w:val="center"/>
            <w:hideMark/>
          </w:tcPr>
          <w:p w14:paraId="48DF6B2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2</w:t>
            </w:r>
          </w:p>
        </w:tc>
      </w:tr>
      <w:tr w:rsidR="0024531A" w:rsidRPr="0024531A" w14:paraId="401CC214"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46492C20"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002EA5BD"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CC191</w:t>
            </w:r>
          </w:p>
        </w:tc>
        <w:tc>
          <w:tcPr>
            <w:tcW w:w="2323" w:type="dxa"/>
            <w:tcBorders>
              <w:top w:val="nil"/>
              <w:left w:val="nil"/>
              <w:bottom w:val="single" w:sz="4" w:space="0" w:color="auto"/>
              <w:right w:val="single" w:sz="4" w:space="0" w:color="auto"/>
            </w:tcBorders>
            <w:shd w:val="clear" w:color="auto" w:fill="auto"/>
            <w:noWrap/>
            <w:vAlign w:val="center"/>
            <w:hideMark/>
          </w:tcPr>
          <w:p w14:paraId="1898FC89"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2</w:t>
            </w:r>
          </w:p>
        </w:tc>
      </w:tr>
      <w:tr w:rsidR="0024531A" w:rsidRPr="0024531A" w14:paraId="25FDF307" w14:textId="77777777" w:rsidTr="000F765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2A4E44DA" w14:textId="0FBB1CEE"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D</w:t>
            </w:r>
            <w:r w:rsidR="00803E1F">
              <w:rPr>
                <w:rFonts w:ascii="Calibri" w:hAnsi="Calibri"/>
                <w:sz w:val="22"/>
                <w:szCs w:val="22"/>
              </w:rPr>
              <w:t xml:space="preserve"> (Saumon)</w:t>
            </w:r>
          </w:p>
        </w:tc>
        <w:tc>
          <w:tcPr>
            <w:tcW w:w="2380" w:type="dxa"/>
            <w:tcBorders>
              <w:top w:val="nil"/>
              <w:left w:val="nil"/>
              <w:bottom w:val="single" w:sz="4" w:space="0" w:color="auto"/>
              <w:right w:val="single" w:sz="4" w:space="0" w:color="auto"/>
            </w:tcBorders>
            <w:shd w:val="clear" w:color="auto" w:fill="auto"/>
            <w:noWrap/>
            <w:vAlign w:val="center"/>
            <w:hideMark/>
          </w:tcPr>
          <w:p w14:paraId="17B4251B"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2323" w:type="dxa"/>
            <w:tcBorders>
              <w:top w:val="nil"/>
              <w:left w:val="nil"/>
              <w:bottom w:val="single" w:sz="4" w:space="0" w:color="auto"/>
              <w:right w:val="single" w:sz="4" w:space="0" w:color="auto"/>
            </w:tcBorders>
            <w:shd w:val="clear" w:color="auto" w:fill="auto"/>
            <w:noWrap/>
            <w:vAlign w:val="center"/>
            <w:hideMark/>
          </w:tcPr>
          <w:p w14:paraId="75004257"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43</w:t>
            </w:r>
          </w:p>
        </w:tc>
      </w:tr>
      <w:tr w:rsidR="0024531A" w:rsidRPr="0024531A" w14:paraId="582D913E" w14:textId="77777777" w:rsidTr="000F765D">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1A610AEB" w14:textId="5A1479E5"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E</w:t>
            </w:r>
            <w:r w:rsidR="00803E1F">
              <w:rPr>
                <w:rFonts w:ascii="Calibri" w:hAnsi="Calibri"/>
                <w:sz w:val="22"/>
                <w:szCs w:val="22"/>
              </w:rPr>
              <w:t xml:space="preserve"> (Saumon)</w:t>
            </w:r>
          </w:p>
        </w:tc>
        <w:tc>
          <w:tcPr>
            <w:tcW w:w="2380" w:type="dxa"/>
            <w:tcBorders>
              <w:top w:val="nil"/>
              <w:left w:val="nil"/>
              <w:bottom w:val="single" w:sz="4" w:space="0" w:color="auto"/>
              <w:right w:val="single" w:sz="4" w:space="0" w:color="auto"/>
            </w:tcBorders>
            <w:shd w:val="clear" w:color="auto" w:fill="auto"/>
            <w:noWrap/>
            <w:vAlign w:val="center"/>
            <w:hideMark/>
          </w:tcPr>
          <w:p w14:paraId="17EC95C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2323" w:type="dxa"/>
            <w:tcBorders>
              <w:top w:val="nil"/>
              <w:left w:val="nil"/>
              <w:bottom w:val="single" w:sz="4" w:space="0" w:color="auto"/>
              <w:right w:val="single" w:sz="4" w:space="0" w:color="auto"/>
            </w:tcBorders>
            <w:shd w:val="clear" w:color="auto" w:fill="auto"/>
            <w:noWrap/>
            <w:vAlign w:val="center"/>
            <w:hideMark/>
          </w:tcPr>
          <w:p w14:paraId="6A3A431D"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47</w:t>
            </w:r>
          </w:p>
        </w:tc>
      </w:tr>
      <w:tr w:rsidR="0024531A" w:rsidRPr="0024531A" w14:paraId="03BF6BD2" w14:textId="77777777" w:rsidTr="000F765D">
        <w:trPr>
          <w:trHeight w:val="300"/>
        </w:trPr>
        <w:tc>
          <w:tcPr>
            <w:tcW w:w="2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29CBF7" w14:textId="245E17D6"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F</w:t>
            </w:r>
            <w:r w:rsidR="00803E1F">
              <w:rPr>
                <w:rFonts w:ascii="Calibri" w:hAnsi="Calibri"/>
                <w:sz w:val="22"/>
                <w:szCs w:val="22"/>
              </w:rPr>
              <w:t xml:space="preserve"> (Saumon)</w:t>
            </w:r>
          </w:p>
        </w:tc>
        <w:tc>
          <w:tcPr>
            <w:tcW w:w="2380" w:type="dxa"/>
            <w:tcBorders>
              <w:top w:val="nil"/>
              <w:left w:val="nil"/>
              <w:bottom w:val="single" w:sz="4" w:space="0" w:color="auto"/>
              <w:right w:val="single" w:sz="4" w:space="0" w:color="auto"/>
            </w:tcBorders>
            <w:shd w:val="clear" w:color="auto" w:fill="auto"/>
            <w:noWrap/>
            <w:vAlign w:val="center"/>
            <w:hideMark/>
          </w:tcPr>
          <w:p w14:paraId="4982B7C5"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CC7</w:t>
            </w:r>
          </w:p>
        </w:tc>
        <w:tc>
          <w:tcPr>
            <w:tcW w:w="2323" w:type="dxa"/>
            <w:tcBorders>
              <w:top w:val="nil"/>
              <w:left w:val="nil"/>
              <w:bottom w:val="single" w:sz="4" w:space="0" w:color="auto"/>
              <w:right w:val="single" w:sz="4" w:space="0" w:color="auto"/>
            </w:tcBorders>
            <w:shd w:val="clear" w:color="auto" w:fill="auto"/>
            <w:noWrap/>
            <w:vAlign w:val="center"/>
            <w:hideMark/>
          </w:tcPr>
          <w:p w14:paraId="36D0CFC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6</w:t>
            </w:r>
          </w:p>
        </w:tc>
      </w:tr>
      <w:tr w:rsidR="0024531A" w:rsidRPr="0024531A" w14:paraId="2F116A93"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6198140E"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224642D7"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CC26</w:t>
            </w:r>
          </w:p>
        </w:tc>
        <w:tc>
          <w:tcPr>
            <w:tcW w:w="2323" w:type="dxa"/>
            <w:tcBorders>
              <w:top w:val="nil"/>
              <w:left w:val="nil"/>
              <w:bottom w:val="single" w:sz="4" w:space="0" w:color="auto"/>
              <w:right w:val="single" w:sz="4" w:space="0" w:color="auto"/>
            </w:tcBorders>
            <w:shd w:val="clear" w:color="auto" w:fill="auto"/>
            <w:noWrap/>
            <w:vAlign w:val="center"/>
            <w:hideMark/>
          </w:tcPr>
          <w:p w14:paraId="7C7EFF34"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149</w:t>
            </w:r>
          </w:p>
        </w:tc>
      </w:tr>
      <w:tr w:rsidR="0024531A" w:rsidRPr="0024531A" w14:paraId="68534DF2" w14:textId="77777777" w:rsidTr="000F765D">
        <w:trPr>
          <w:trHeight w:val="300"/>
        </w:trPr>
        <w:tc>
          <w:tcPr>
            <w:tcW w:w="2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A324678" w14:textId="33FE068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G</w:t>
            </w:r>
            <w:r w:rsidR="00803E1F">
              <w:rPr>
                <w:rFonts w:ascii="Calibri" w:hAnsi="Calibri"/>
                <w:sz w:val="22"/>
                <w:szCs w:val="22"/>
              </w:rPr>
              <w:t xml:space="preserve"> (Saumon)</w:t>
            </w:r>
          </w:p>
        </w:tc>
        <w:tc>
          <w:tcPr>
            <w:tcW w:w="2380" w:type="dxa"/>
            <w:tcBorders>
              <w:top w:val="nil"/>
              <w:left w:val="nil"/>
              <w:bottom w:val="single" w:sz="4" w:space="0" w:color="auto"/>
              <w:right w:val="single" w:sz="4" w:space="0" w:color="auto"/>
            </w:tcBorders>
            <w:shd w:val="clear" w:color="auto" w:fill="auto"/>
            <w:noWrap/>
            <w:vAlign w:val="center"/>
            <w:hideMark/>
          </w:tcPr>
          <w:p w14:paraId="05C644DC"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CC20</w:t>
            </w:r>
          </w:p>
        </w:tc>
        <w:tc>
          <w:tcPr>
            <w:tcW w:w="2323" w:type="dxa"/>
            <w:tcBorders>
              <w:top w:val="nil"/>
              <w:left w:val="nil"/>
              <w:bottom w:val="single" w:sz="4" w:space="0" w:color="auto"/>
              <w:right w:val="single" w:sz="4" w:space="0" w:color="auto"/>
            </w:tcBorders>
            <w:shd w:val="clear" w:color="auto" w:fill="auto"/>
            <w:noWrap/>
            <w:vAlign w:val="center"/>
            <w:hideMark/>
          </w:tcPr>
          <w:p w14:paraId="224C688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w:t>
            </w:r>
          </w:p>
        </w:tc>
      </w:tr>
      <w:tr w:rsidR="0024531A" w:rsidRPr="0024531A" w14:paraId="722F1104"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5EE2389E"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27A30155"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2323" w:type="dxa"/>
            <w:tcBorders>
              <w:top w:val="nil"/>
              <w:left w:val="nil"/>
              <w:bottom w:val="single" w:sz="4" w:space="0" w:color="auto"/>
              <w:right w:val="single" w:sz="4" w:space="0" w:color="auto"/>
            </w:tcBorders>
            <w:shd w:val="clear" w:color="auto" w:fill="auto"/>
            <w:noWrap/>
            <w:vAlign w:val="center"/>
            <w:hideMark/>
          </w:tcPr>
          <w:p w14:paraId="3376DDFD"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39</w:t>
            </w:r>
          </w:p>
        </w:tc>
      </w:tr>
      <w:tr w:rsidR="0024531A" w:rsidRPr="0024531A" w14:paraId="26F55560"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12ACCC0E"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0A1CE378"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CC204</w:t>
            </w:r>
          </w:p>
        </w:tc>
        <w:tc>
          <w:tcPr>
            <w:tcW w:w="2323" w:type="dxa"/>
            <w:tcBorders>
              <w:top w:val="nil"/>
              <w:left w:val="nil"/>
              <w:bottom w:val="single" w:sz="4" w:space="0" w:color="auto"/>
              <w:right w:val="single" w:sz="4" w:space="0" w:color="auto"/>
            </w:tcBorders>
            <w:shd w:val="clear" w:color="auto" w:fill="auto"/>
            <w:noWrap/>
            <w:vAlign w:val="center"/>
            <w:hideMark/>
          </w:tcPr>
          <w:p w14:paraId="114F36C8"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42</w:t>
            </w:r>
          </w:p>
        </w:tc>
      </w:tr>
      <w:tr w:rsidR="0024531A" w:rsidRPr="0024531A" w14:paraId="06E7B3CF" w14:textId="77777777" w:rsidTr="000F765D">
        <w:trPr>
          <w:trHeight w:val="300"/>
        </w:trPr>
        <w:tc>
          <w:tcPr>
            <w:tcW w:w="2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D8F8A0" w14:textId="332A9D60"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H</w:t>
            </w:r>
            <w:r w:rsidR="00803E1F">
              <w:rPr>
                <w:rFonts w:ascii="Calibri" w:hAnsi="Calibri"/>
                <w:sz w:val="22"/>
                <w:szCs w:val="22"/>
              </w:rPr>
              <w:t xml:space="preserve"> (Saumon)</w:t>
            </w:r>
          </w:p>
        </w:tc>
        <w:tc>
          <w:tcPr>
            <w:tcW w:w="2380" w:type="dxa"/>
            <w:tcBorders>
              <w:top w:val="nil"/>
              <w:left w:val="nil"/>
              <w:bottom w:val="single" w:sz="4" w:space="0" w:color="auto"/>
              <w:right w:val="single" w:sz="4" w:space="0" w:color="auto"/>
            </w:tcBorders>
            <w:shd w:val="clear" w:color="auto" w:fill="auto"/>
            <w:noWrap/>
            <w:vAlign w:val="center"/>
            <w:hideMark/>
          </w:tcPr>
          <w:p w14:paraId="1AC6E72C"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CC26</w:t>
            </w:r>
          </w:p>
        </w:tc>
        <w:tc>
          <w:tcPr>
            <w:tcW w:w="2323" w:type="dxa"/>
            <w:tcBorders>
              <w:top w:val="nil"/>
              <w:left w:val="nil"/>
              <w:bottom w:val="single" w:sz="4" w:space="0" w:color="auto"/>
              <w:right w:val="single" w:sz="4" w:space="0" w:color="auto"/>
            </w:tcBorders>
            <w:shd w:val="clear" w:color="auto" w:fill="auto"/>
            <w:noWrap/>
            <w:vAlign w:val="center"/>
            <w:hideMark/>
          </w:tcPr>
          <w:p w14:paraId="5B9F3CAE"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3</w:t>
            </w:r>
          </w:p>
        </w:tc>
      </w:tr>
      <w:tr w:rsidR="0024531A" w:rsidRPr="0024531A" w14:paraId="0F1BD090"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01E9C274"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7FD57CBB"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2323" w:type="dxa"/>
            <w:tcBorders>
              <w:top w:val="nil"/>
              <w:left w:val="nil"/>
              <w:bottom w:val="single" w:sz="4" w:space="0" w:color="auto"/>
              <w:right w:val="single" w:sz="4" w:space="0" w:color="auto"/>
            </w:tcBorders>
            <w:shd w:val="clear" w:color="auto" w:fill="auto"/>
            <w:noWrap/>
            <w:vAlign w:val="center"/>
            <w:hideMark/>
          </w:tcPr>
          <w:p w14:paraId="3C1F12A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123</w:t>
            </w:r>
          </w:p>
        </w:tc>
      </w:tr>
      <w:tr w:rsidR="0024531A" w:rsidRPr="0024531A" w14:paraId="028A6568" w14:textId="77777777" w:rsidTr="000F765D">
        <w:trPr>
          <w:trHeight w:val="300"/>
        </w:trPr>
        <w:tc>
          <w:tcPr>
            <w:tcW w:w="2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1CDEC2" w14:textId="29140F48"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Entreprise I</w:t>
            </w:r>
            <w:r w:rsidR="00803E1F">
              <w:rPr>
                <w:rFonts w:ascii="Calibri" w:hAnsi="Calibri"/>
                <w:sz w:val="22"/>
                <w:szCs w:val="22"/>
              </w:rPr>
              <w:t xml:space="preserve"> (Saumon)</w:t>
            </w:r>
          </w:p>
        </w:tc>
        <w:tc>
          <w:tcPr>
            <w:tcW w:w="2380" w:type="dxa"/>
            <w:tcBorders>
              <w:top w:val="nil"/>
              <w:left w:val="nil"/>
              <w:bottom w:val="single" w:sz="4" w:space="0" w:color="auto"/>
              <w:right w:val="single" w:sz="4" w:space="0" w:color="auto"/>
            </w:tcBorders>
            <w:shd w:val="clear" w:color="auto" w:fill="auto"/>
            <w:noWrap/>
            <w:vAlign w:val="center"/>
            <w:hideMark/>
          </w:tcPr>
          <w:p w14:paraId="239A8608"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CC3</w:t>
            </w:r>
          </w:p>
        </w:tc>
        <w:tc>
          <w:tcPr>
            <w:tcW w:w="2323" w:type="dxa"/>
            <w:tcBorders>
              <w:top w:val="nil"/>
              <w:left w:val="nil"/>
              <w:bottom w:val="single" w:sz="4" w:space="0" w:color="auto"/>
              <w:right w:val="single" w:sz="4" w:space="0" w:color="auto"/>
            </w:tcBorders>
            <w:shd w:val="clear" w:color="auto" w:fill="auto"/>
            <w:noWrap/>
            <w:vAlign w:val="center"/>
            <w:hideMark/>
          </w:tcPr>
          <w:p w14:paraId="7A14944E"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5</w:t>
            </w:r>
          </w:p>
        </w:tc>
      </w:tr>
      <w:tr w:rsidR="0024531A" w:rsidRPr="0024531A" w14:paraId="7A55D152"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1260FE02"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2DFD4130"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CC31</w:t>
            </w:r>
          </w:p>
        </w:tc>
        <w:tc>
          <w:tcPr>
            <w:tcW w:w="2323" w:type="dxa"/>
            <w:tcBorders>
              <w:top w:val="nil"/>
              <w:left w:val="nil"/>
              <w:bottom w:val="single" w:sz="4" w:space="0" w:color="auto"/>
              <w:right w:val="single" w:sz="4" w:space="0" w:color="auto"/>
            </w:tcBorders>
            <w:shd w:val="clear" w:color="auto" w:fill="auto"/>
            <w:noWrap/>
            <w:vAlign w:val="center"/>
            <w:hideMark/>
          </w:tcPr>
          <w:p w14:paraId="67BA8A3A"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w:t>
            </w:r>
          </w:p>
        </w:tc>
      </w:tr>
      <w:tr w:rsidR="0024531A" w:rsidRPr="0024531A" w14:paraId="77D11540"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494C3977"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0C455BAE"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CC121</w:t>
            </w:r>
          </w:p>
        </w:tc>
        <w:tc>
          <w:tcPr>
            <w:tcW w:w="2323" w:type="dxa"/>
            <w:tcBorders>
              <w:top w:val="nil"/>
              <w:left w:val="nil"/>
              <w:bottom w:val="single" w:sz="4" w:space="0" w:color="auto"/>
              <w:right w:val="single" w:sz="4" w:space="0" w:color="auto"/>
            </w:tcBorders>
            <w:shd w:val="clear" w:color="auto" w:fill="auto"/>
            <w:noWrap/>
            <w:vAlign w:val="center"/>
            <w:hideMark/>
          </w:tcPr>
          <w:p w14:paraId="5BDAE6B2"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131</w:t>
            </w:r>
          </w:p>
        </w:tc>
      </w:tr>
      <w:tr w:rsidR="0024531A" w:rsidRPr="0024531A" w14:paraId="3C2E5CB4" w14:textId="77777777" w:rsidTr="000F765D">
        <w:trPr>
          <w:trHeight w:val="300"/>
        </w:trPr>
        <w:tc>
          <w:tcPr>
            <w:tcW w:w="2380" w:type="dxa"/>
            <w:vMerge/>
            <w:tcBorders>
              <w:top w:val="nil"/>
              <w:left w:val="single" w:sz="4" w:space="0" w:color="auto"/>
              <w:bottom w:val="single" w:sz="4" w:space="0" w:color="auto"/>
              <w:right w:val="single" w:sz="4" w:space="0" w:color="auto"/>
            </w:tcBorders>
            <w:vAlign w:val="center"/>
            <w:hideMark/>
          </w:tcPr>
          <w:p w14:paraId="2B29293E" w14:textId="77777777" w:rsidR="0024531A" w:rsidRPr="0024531A" w:rsidRDefault="0024531A" w:rsidP="0024531A">
            <w:pPr>
              <w:spacing w:line="240" w:lineRule="auto"/>
              <w:jc w:val="left"/>
              <w:rPr>
                <w:rFonts w:ascii="Calibri" w:hAnsi="Calibri"/>
                <w:sz w:val="22"/>
                <w:szCs w:val="22"/>
              </w:rPr>
            </w:pPr>
          </w:p>
        </w:tc>
        <w:tc>
          <w:tcPr>
            <w:tcW w:w="2380" w:type="dxa"/>
            <w:tcBorders>
              <w:top w:val="nil"/>
              <w:left w:val="nil"/>
              <w:bottom w:val="single" w:sz="4" w:space="0" w:color="auto"/>
              <w:right w:val="single" w:sz="4" w:space="0" w:color="auto"/>
            </w:tcBorders>
            <w:shd w:val="clear" w:color="auto" w:fill="auto"/>
            <w:noWrap/>
            <w:vAlign w:val="center"/>
            <w:hideMark/>
          </w:tcPr>
          <w:p w14:paraId="65200610"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CC204</w:t>
            </w:r>
          </w:p>
        </w:tc>
        <w:tc>
          <w:tcPr>
            <w:tcW w:w="2323" w:type="dxa"/>
            <w:tcBorders>
              <w:top w:val="nil"/>
              <w:left w:val="nil"/>
              <w:bottom w:val="single" w:sz="4" w:space="0" w:color="auto"/>
              <w:right w:val="single" w:sz="4" w:space="0" w:color="auto"/>
            </w:tcBorders>
            <w:shd w:val="clear" w:color="auto" w:fill="auto"/>
            <w:noWrap/>
            <w:vAlign w:val="center"/>
            <w:hideMark/>
          </w:tcPr>
          <w:p w14:paraId="18958C26" w14:textId="77777777" w:rsidR="0024531A" w:rsidRPr="0024531A" w:rsidRDefault="0024531A" w:rsidP="0024531A">
            <w:pPr>
              <w:spacing w:line="240" w:lineRule="auto"/>
              <w:jc w:val="center"/>
              <w:rPr>
                <w:rFonts w:ascii="Calibri" w:hAnsi="Calibri"/>
                <w:sz w:val="22"/>
                <w:szCs w:val="22"/>
              </w:rPr>
            </w:pPr>
            <w:r w:rsidRPr="0024531A">
              <w:rPr>
                <w:rFonts w:ascii="Calibri" w:hAnsi="Calibri"/>
                <w:sz w:val="22"/>
                <w:szCs w:val="22"/>
              </w:rPr>
              <w:t>23</w:t>
            </w:r>
          </w:p>
        </w:tc>
      </w:tr>
    </w:tbl>
    <w:p w14:paraId="3543036A" w14:textId="0B0E34B3" w:rsidR="0090118F" w:rsidRDefault="00B5216E" w:rsidP="000A674E">
      <w:pPr>
        <w:pStyle w:val="Titre2"/>
      </w:pPr>
      <w:bookmarkStart w:id="50" w:name="_Toc73027861"/>
      <w:r>
        <w:lastRenderedPageBreak/>
        <w:t>Etape</w:t>
      </w:r>
      <w:r w:rsidR="000F765D">
        <w:t xml:space="preserve"> </w:t>
      </w:r>
      <w:r>
        <w:t>2</w:t>
      </w:r>
      <w:r w:rsidR="0090118F" w:rsidRPr="00972912">
        <w:t>:</w:t>
      </w:r>
      <w:r w:rsidR="00E27E68" w:rsidRPr="00E27E68">
        <w:t xml:space="preserve"> </w:t>
      </w:r>
      <w:r w:rsidR="000A674E">
        <w:t>D</w:t>
      </w:r>
      <w:r w:rsidR="000A674E" w:rsidRPr="000A674E">
        <w:t>éveloppement</w:t>
      </w:r>
      <w:r w:rsidR="000F765D">
        <w:t>/ optimisation</w:t>
      </w:r>
      <w:r w:rsidR="000A674E" w:rsidRPr="000A674E">
        <w:t xml:space="preserve"> d’un outil performant de PCR</w:t>
      </w:r>
      <w:r w:rsidR="00FF2FC9">
        <w:t xml:space="preserve"> en temps réel</w:t>
      </w:r>
      <w:r w:rsidR="000A674E" w:rsidRPr="000A674E">
        <w:t xml:space="preserve"> pour l’identification de 29 complexe</w:t>
      </w:r>
      <w:r w:rsidR="000A674E">
        <w:t>s clonaux de L.</w:t>
      </w:r>
      <w:r w:rsidR="000A674E" w:rsidRPr="000A674E">
        <w:t xml:space="preserve"> </w:t>
      </w:r>
      <w:proofErr w:type="spellStart"/>
      <w:r w:rsidR="000A674E" w:rsidRPr="000A674E">
        <w:t>monocytogenes</w:t>
      </w:r>
      <w:bookmarkEnd w:id="50"/>
      <w:proofErr w:type="spellEnd"/>
    </w:p>
    <w:p w14:paraId="66E6BD17" w14:textId="77777777" w:rsidR="0090118F" w:rsidRPr="00972912" w:rsidRDefault="0090118F" w:rsidP="00EB1FC2">
      <w:pPr>
        <w:pStyle w:val="Titre3"/>
        <w:spacing w:before="100" w:beforeAutospacing="1" w:after="100" w:afterAutospacing="1"/>
      </w:pPr>
      <w:bookmarkStart w:id="51" w:name="_Toc73027862"/>
      <w:r w:rsidRPr="00972912">
        <w:t>Contexte de l’étape</w:t>
      </w:r>
      <w:bookmarkEnd w:id="51"/>
    </w:p>
    <w:p w14:paraId="3CF1156A" w14:textId="72456A4E" w:rsidR="004C562A" w:rsidRPr="00972912" w:rsidRDefault="00BC347B" w:rsidP="00FC0CD4">
      <w:pPr>
        <w:tabs>
          <w:tab w:val="right" w:leader="underscore" w:pos="0"/>
          <w:tab w:val="right" w:leader="underscore" w:pos="709"/>
          <w:tab w:val="left" w:pos="5760"/>
        </w:tabs>
        <w:spacing w:before="100" w:beforeAutospacing="1" w:after="100" w:afterAutospacing="1"/>
        <w:rPr>
          <w:sz w:val="23"/>
          <w:szCs w:val="23"/>
        </w:rPr>
      </w:pPr>
      <w:r w:rsidRPr="00972912">
        <w:rPr>
          <w:sz w:val="23"/>
          <w:szCs w:val="23"/>
        </w:rPr>
        <w:tab/>
      </w:r>
      <w:r w:rsidR="000A674E">
        <w:rPr>
          <w:color w:val="000000"/>
          <w:sz w:val="22"/>
          <w:szCs w:val="22"/>
        </w:rPr>
        <w:t>Les souches disponibles au sein de</w:t>
      </w:r>
      <w:r w:rsidR="00FF2FC9">
        <w:rPr>
          <w:color w:val="000000"/>
          <w:sz w:val="22"/>
          <w:szCs w:val="22"/>
        </w:rPr>
        <w:t>s</w:t>
      </w:r>
      <w:r w:rsidR="000A674E">
        <w:rPr>
          <w:color w:val="000000"/>
          <w:sz w:val="22"/>
          <w:szCs w:val="22"/>
        </w:rPr>
        <w:t xml:space="preserve"> </w:t>
      </w:r>
      <w:proofErr w:type="spellStart"/>
      <w:r w:rsidR="000A674E">
        <w:rPr>
          <w:color w:val="000000"/>
          <w:sz w:val="22"/>
          <w:szCs w:val="22"/>
        </w:rPr>
        <w:t>souchotèques</w:t>
      </w:r>
      <w:proofErr w:type="spellEnd"/>
      <w:r w:rsidR="00FF2FC9">
        <w:rPr>
          <w:color w:val="000000"/>
          <w:sz w:val="22"/>
          <w:szCs w:val="22"/>
        </w:rPr>
        <w:t xml:space="preserve"> de l’Anses au </w:t>
      </w:r>
      <w:proofErr w:type="spellStart"/>
      <w:r w:rsidR="00FF2FC9">
        <w:rPr>
          <w:color w:val="000000"/>
          <w:sz w:val="22"/>
          <w:szCs w:val="22"/>
        </w:rPr>
        <w:t>LSAl</w:t>
      </w:r>
      <w:proofErr w:type="spellEnd"/>
      <w:r w:rsidR="00FF2FC9">
        <w:rPr>
          <w:color w:val="000000"/>
          <w:sz w:val="22"/>
          <w:szCs w:val="22"/>
        </w:rPr>
        <w:t xml:space="preserve"> site de</w:t>
      </w:r>
      <w:r w:rsidR="000A674E">
        <w:rPr>
          <w:color w:val="000000"/>
          <w:sz w:val="22"/>
          <w:szCs w:val="22"/>
        </w:rPr>
        <w:t xml:space="preserve"> Boulogne sur Mer</w:t>
      </w:r>
      <w:r w:rsidR="00FF2FC9">
        <w:rPr>
          <w:color w:val="000000"/>
          <w:sz w:val="22"/>
          <w:szCs w:val="22"/>
        </w:rPr>
        <w:t>- unité B3PA</w:t>
      </w:r>
      <w:r w:rsidR="000A674E">
        <w:rPr>
          <w:color w:val="000000"/>
          <w:sz w:val="22"/>
          <w:szCs w:val="22"/>
        </w:rPr>
        <w:t xml:space="preserve"> et</w:t>
      </w:r>
      <w:r w:rsidR="00FF2FC9">
        <w:rPr>
          <w:color w:val="000000"/>
          <w:sz w:val="22"/>
          <w:szCs w:val="22"/>
        </w:rPr>
        <w:t xml:space="preserve"> site </w:t>
      </w:r>
      <w:r w:rsidR="000A674E">
        <w:rPr>
          <w:color w:val="000000"/>
          <w:sz w:val="22"/>
          <w:szCs w:val="22"/>
        </w:rPr>
        <w:t>de Maisons-Alfort</w:t>
      </w:r>
      <w:r w:rsidR="00FF2FC9">
        <w:rPr>
          <w:color w:val="000000"/>
          <w:sz w:val="22"/>
          <w:szCs w:val="22"/>
        </w:rPr>
        <w:t>-unité SEL</w:t>
      </w:r>
      <w:r w:rsidR="000A674E">
        <w:rPr>
          <w:color w:val="000000"/>
          <w:sz w:val="22"/>
          <w:szCs w:val="22"/>
        </w:rPr>
        <w:t xml:space="preserve"> représente</w:t>
      </w:r>
      <w:r w:rsidR="00FF2FC9">
        <w:rPr>
          <w:color w:val="000000"/>
          <w:sz w:val="22"/>
          <w:szCs w:val="22"/>
        </w:rPr>
        <w:t>nt</w:t>
      </w:r>
      <w:r w:rsidR="000A674E">
        <w:rPr>
          <w:color w:val="000000"/>
          <w:sz w:val="22"/>
          <w:szCs w:val="22"/>
        </w:rPr>
        <w:t xml:space="preserve"> une collection large et diversifiée de souches de terrain issues de la filière pêche, lait, viande et de production de produit</w:t>
      </w:r>
      <w:r w:rsidR="00FF2FC9">
        <w:rPr>
          <w:color w:val="000000"/>
          <w:sz w:val="22"/>
          <w:szCs w:val="22"/>
        </w:rPr>
        <w:t>s</w:t>
      </w:r>
      <w:r w:rsidR="000A674E">
        <w:rPr>
          <w:color w:val="000000"/>
          <w:sz w:val="22"/>
          <w:szCs w:val="22"/>
        </w:rPr>
        <w:t xml:space="preserve"> transformé</w:t>
      </w:r>
      <w:r w:rsidR="00FF2FC9">
        <w:rPr>
          <w:color w:val="000000"/>
          <w:sz w:val="22"/>
          <w:szCs w:val="22"/>
        </w:rPr>
        <w:t>s</w:t>
      </w:r>
      <w:r w:rsidR="000A674E">
        <w:rPr>
          <w:color w:val="000000"/>
          <w:sz w:val="22"/>
          <w:szCs w:val="22"/>
        </w:rPr>
        <w:t xml:space="preserve"> combinés. </w:t>
      </w:r>
      <w:r w:rsidR="00FF2FC9">
        <w:rPr>
          <w:color w:val="000000"/>
          <w:sz w:val="22"/>
          <w:szCs w:val="22"/>
        </w:rPr>
        <w:t>A ces</w:t>
      </w:r>
      <w:r w:rsidR="00742BD8">
        <w:rPr>
          <w:color w:val="000000"/>
          <w:sz w:val="22"/>
          <w:szCs w:val="22"/>
        </w:rPr>
        <w:t xml:space="preserve"> collection</w:t>
      </w:r>
      <w:r w:rsidR="00FF2FC9">
        <w:rPr>
          <w:color w:val="000000"/>
          <w:sz w:val="22"/>
          <w:szCs w:val="22"/>
        </w:rPr>
        <w:t>s</w:t>
      </w:r>
      <w:r w:rsidR="00742BD8">
        <w:rPr>
          <w:color w:val="000000"/>
          <w:sz w:val="22"/>
          <w:szCs w:val="22"/>
        </w:rPr>
        <w:t xml:space="preserve"> initiale</w:t>
      </w:r>
      <w:r w:rsidR="00FF2FC9">
        <w:rPr>
          <w:color w:val="000000"/>
          <w:sz w:val="22"/>
          <w:szCs w:val="22"/>
        </w:rPr>
        <w:t>s</w:t>
      </w:r>
      <w:r w:rsidR="006463AD">
        <w:rPr>
          <w:color w:val="000000"/>
          <w:sz w:val="22"/>
          <w:szCs w:val="22"/>
        </w:rPr>
        <w:t>, s’ajoutait</w:t>
      </w:r>
      <w:r w:rsidR="00742BD8">
        <w:rPr>
          <w:color w:val="000000"/>
          <w:sz w:val="22"/>
          <w:szCs w:val="22"/>
        </w:rPr>
        <w:t xml:space="preserve"> les collections de deux partenaires, acteurs du contrôle de </w:t>
      </w:r>
      <w:r w:rsidR="00742BD8" w:rsidRPr="00742BD8">
        <w:rPr>
          <w:i/>
          <w:color w:val="000000"/>
          <w:sz w:val="22"/>
          <w:szCs w:val="22"/>
        </w:rPr>
        <w:t>L</w:t>
      </w:r>
      <w:r w:rsidR="00742BD8">
        <w:rPr>
          <w:i/>
          <w:color w:val="000000"/>
          <w:sz w:val="22"/>
          <w:szCs w:val="22"/>
        </w:rPr>
        <w:t xml:space="preserve">. </w:t>
      </w:r>
      <w:proofErr w:type="spellStart"/>
      <w:r w:rsidR="00742BD8">
        <w:rPr>
          <w:i/>
          <w:color w:val="000000"/>
          <w:sz w:val="22"/>
          <w:szCs w:val="22"/>
        </w:rPr>
        <w:t>monocytogenes</w:t>
      </w:r>
      <w:proofErr w:type="spellEnd"/>
      <w:r w:rsidR="00742BD8">
        <w:rPr>
          <w:color w:val="000000"/>
          <w:sz w:val="22"/>
          <w:szCs w:val="22"/>
        </w:rPr>
        <w:t xml:space="preserve"> dans le secteur agro-alimentaire, l’ADRIA de Quimper et l’</w:t>
      </w:r>
      <w:r w:rsidR="00FF2FC9">
        <w:rPr>
          <w:color w:val="000000"/>
          <w:sz w:val="22"/>
          <w:szCs w:val="22"/>
        </w:rPr>
        <w:t xml:space="preserve">Institut du porc </w:t>
      </w:r>
      <w:r w:rsidR="00742BD8">
        <w:rPr>
          <w:color w:val="000000"/>
          <w:sz w:val="22"/>
          <w:szCs w:val="22"/>
        </w:rPr>
        <w:t xml:space="preserve">(l’IFIP) qui ont acceptés de partager une partie des souches disponibles au niveau de leur collection pour </w:t>
      </w:r>
      <w:r w:rsidR="006463AD">
        <w:rPr>
          <w:color w:val="000000"/>
          <w:sz w:val="22"/>
          <w:szCs w:val="22"/>
        </w:rPr>
        <w:t>le développement de cette technique dans ce projet et lors de précédents projets</w:t>
      </w:r>
      <w:r w:rsidR="00742BD8">
        <w:rPr>
          <w:color w:val="000000"/>
          <w:sz w:val="22"/>
          <w:szCs w:val="22"/>
        </w:rPr>
        <w:t xml:space="preserve">. </w:t>
      </w:r>
      <w:r w:rsidR="000A674E">
        <w:rPr>
          <w:color w:val="000000"/>
          <w:sz w:val="22"/>
          <w:szCs w:val="22"/>
        </w:rPr>
        <w:t xml:space="preserve">Sur la base de </w:t>
      </w:r>
      <w:r w:rsidR="00742BD8">
        <w:rPr>
          <w:color w:val="000000"/>
          <w:sz w:val="22"/>
          <w:szCs w:val="22"/>
        </w:rPr>
        <w:t xml:space="preserve">ces ressources biologiques larges, </w:t>
      </w:r>
      <w:r w:rsidR="000A674E">
        <w:rPr>
          <w:color w:val="000000"/>
          <w:sz w:val="22"/>
          <w:szCs w:val="22"/>
        </w:rPr>
        <w:t xml:space="preserve">l’unité SEL </w:t>
      </w:r>
      <w:r w:rsidR="00742BD8">
        <w:rPr>
          <w:color w:val="000000"/>
          <w:sz w:val="22"/>
          <w:szCs w:val="22"/>
        </w:rPr>
        <w:t xml:space="preserve">a lancé le </w:t>
      </w:r>
      <w:r w:rsidR="00822278">
        <w:rPr>
          <w:color w:val="000000"/>
          <w:sz w:val="22"/>
          <w:szCs w:val="22"/>
        </w:rPr>
        <w:t>développe</w:t>
      </w:r>
      <w:r w:rsidR="00742BD8">
        <w:rPr>
          <w:color w:val="000000"/>
          <w:sz w:val="22"/>
          <w:szCs w:val="22"/>
        </w:rPr>
        <w:t>ment</w:t>
      </w:r>
      <w:r w:rsidR="000A674E">
        <w:rPr>
          <w:color w:val="000000"/>
          <w:sz w:val="22"/>
          <w:szCs w:val="22"/>
        </w:rPr>
        <w:t xml:space="preserve"> </w:t>
      </w:r>
      <w:r w:rsidR="00742BD8">
        <w:rPr>
          <w:color w:val="000000"/>
          <w:sz w:val="22"/>
          <w:szCs w:val="22"/>
        </w:rPr>
        <w:t>d’</w:t>
      </w:r>
      <w:r w:rsidR="000A674E">
        <w:rPr>
          <w:color w:val="000000"/>
          <w:sz w:val="22"/>
          <w:szCs w:val="22"/>
        </w:rPr>
        <w:t>un test de PCR en temps réel</w:t>
      </w:r>
      <w:r w:rsidR="00822278">
        <w:rPr>
          <w:color w:val="000000"/>
          <w:sz w:val="22"/>
          <w:szCs w:val="22"/>
        </w:rPr>
        <w:t xml:space="preserve">, rapide, innovant, discriminant, couvrant la majorité des souches circulant en Europe et constituant ainsi une analyse de première intention efficace. Ce test a été nommé </w:t>
      </w:r>
      <w:r w:rsidR="005437B4">
        <w:rPr>
          <w:color w:val="000000"/>
          <w:sz w:val="22"/>
          <w:szCs w:val="22"/>
        </w:rPr>
        <w:t xml:space="preserve">PCR en temps réel </w:t>
      </w:r>
      <w:proofErr w:type="spellStart"/>
      <w:r w:rsidR="00822278">
        <w:rPr>
          <w:color w:val="000000"/>
          <w:sz w:val="22"/>
          <w:szCs w:val="22"/>
        </w:rPr>
        <w:t>Geno</w:t>
      </w:r>
      <w:r w:rsidR="00822278" w:rsidRPr="00822278">
        <w:rPr>
          <w:i/>
          <w:color w:val="000000"/>
          <w:sz w:val="22"/>
          <w:szCs w:val="22"/>
        </w:rPr>
        <w:t>Listeria</w:t>
      </w:r>
      <w:proofErr w:type="spellEnd"/>
      <w:r w:rsidR="00822278">
        <w:rPr>
          <w:color w:val="000000"/>
          <w:sz w:val="22"/>
          <w:szCs w:val="22"/>
        </w:rPr>
        <w:t xml:space="preserve">. Sa mise au point </w:t>
      </w:r>
      <w:r w:rsidR="006463AD">
        <w:rPr>
          <w:color w:val="000000"/>
          <w:sz w:val="22"/>
          <w:szCs w:val="22"/>
        </w:rPr>
        <w:t>a été</w:t>
      </w:r>
      <w:r w:rsidR="00742BD8">
        <w:rPr>
          <w:color w:val="000000"/>
          <w:sz w:val="22"/>
          <w:szCs w:val="22"/>
        </w:rPr>
        <w:t xml:space="preserve"> intégrée au sein </w:t>
      </w:r>
      <w:r w:rsidR="000A674E">
        <w:rPr>
          <w:color w:val="000000"/>
          <w:sz w:val="22"/>
          <w:szCs w:val="22"/>
        </w:rPr>
        <w:t>des activités du</w:t>
      </w:r>
      <w:r w:rsidR="00822278">
        <w:rPr>
          <w:color w:val="000000"/>
          <w:sz w:val="22"/>
          <w:szCs w:val="22"/>
        </w:rPr>
        <w:t xml:space="preserve"> Laboratoire </w:t>
      </w:r>
      <w:r w:rsidR="000A674E">
        <w:rPr>
          <w:color w:val="000000"/>
          <w:sz w:val="22"/>
          <w:szCs w:val="22"/>
        </w:rPr>
        <w:t>de Référence</w:t>
      </w:r>
      <w:r w:rsidR="00822278">
        <w:rPr>
          <w:color w:val="000000"/>
          <w:sz w:val="22"/>
          <w:szCs w:val="22"/>
        </w:rPr>
        <w:t xml:space="preserve"> de l’Union Européenne</w:t>
      </w:r>
      <w:r w:rsidR="000A674E">
        <w:rPr>
          <w:color w:val="000000"/>
          <w:sz w:val="22"/>
          <w:szCs w:val="22"/>
        </w:rPr>
        <w:t xml:space="preserve"> (LRUE) pour </w:t>
      </w:r>
      <w:r w:rsidR="000A674E">
        <w:rPr>
          <w:i/>
          <w:iCs/>
          <w:color w:val="000000"/>
          <w:sz w:val="22"/>
          <w:szCs w:val="22"/>
        </w:rPr>
        <w:t xml:space="preserve">Lm </w:t>
      </w:r>
      <w:r w:rsidR="000A674E">
        <w:rPr>
          <w:color w:val="000000"/>
          <w:sz w:val="22"/>
          <w:szCs w:val="22"/>
        </w:rPr>
        <w:t>(</w:t>
      </w:r>
      <w:hyperlink r:id="rId14" w:history="1">
        <w:r w:rsidR="000A674E">
          <w:rPr>
            <w:rStyle w:val="Lienhypertexte"/>
            <w:color w:val="1155CC"/>
            <w:sz w:val="22"/>
            <w:szCs w:val="22"/>
          </w:rPr>
          <w:t>https://eurl-listeria.anses.fr</w:t>
        </w:r>
      </w:hyperlink>
      <w:r w:rsidR="000A674E">
        <w:rPr>
          <w:color w:val="000000"/>
          <w:sz w:val="22"/>
          <w:szCs w:val="22"/>
        </w:rPr>
        <w:t>)</w:t>
      </w:r>
      <w:r w:rsidR="00742BD8">
        <w:rPr>
          <w:color w:val="000000"/>
          <w:sz w:val="22"/>
          <w:szCs w:val="22"/>
        </w:rPr>
        <w:t xml:space="preserve"> mandat porté par l’Unité SEL. Le projet TYP</w:t>
      </w:r>
      <w:r w:rsidR="006463AD">
        <w:rPr>
          <w:color w:val="000000"/>
          <w:sz w:val="22"/>
          <w:szCs w:val="22"/>
        </w:rPr>
        <w:t>LM</w:t>
      </w:r>
      <w:r w:rsidR="00822278">
        <w:rPr>
          <w:color w:val="000000"/>
          <w:sz w:val="22"/>
          <w:szCs w:val="22"/>
        </w:rPr>
        <w:t xml:space="preserve">, </w:t>
      </w:r>
      <w:r w:rsidR="00742BD8">
        <w:rPr>
          <w:color w:val="000000"/>
          <w:sz w:val="22"/>
          <w:szCs w:val="22"/>
        </w:rPr>
        <w:t>a</w:t>
      </w:r>
      <w:r w:rsidR="00822278">
        <w:rPr>
          <w:color w:val="000000"/>
          <w:sz w:val="22"/>
          <w:szCs w:val="22"/>
        </w:rPr>
        <w:t xml:space="preserve"> pour but, la validation et la démonstration de</w:t>
      </w:r>
      <w:r w:rsidR="000A674E">
        <w:rPr>
          <w:color w:val="000000"/>
          <w:sz w:val="22"/>
          <w:szCs w:val="22"/>
        </w:rPr>
        <w:t xml:space="preserve"> son efficacité sur des souches isolées </w:t>
      </w:r>
      <w:r w:rsidR="00742BD8">
        <w:rPr>
          <w:color w:val="000000"/>
          <w:sz w:val="22"/>
          <w:szCs w:val="22"/>
        </w:rPr>
        <w:t xml:space="preserve">de toute filière alimentaire et </w:t>
      </w:r>
      <w:r w:rsidR="00822278">
        <w:rPr>
          <w:color w:val="000000"/>
          <w:sz w:val="22"/>
          <w:szCs w:val="22"/>
        </w:rPr>
        <w:t xml:space="preserve">en particulier </w:t>
      </w:r>
      <w:r w:rsidR="000A674E">
        <w:rPr>
          <w:color w:val="000000"/>
          <w:sz w:val="22"/>
          <w:szCs w:val="22"/>
        </w:rPr>
        <w:t xml:space="preserve">de la filière « pêche et produits de la mer ». </w:t>
      </w:r>
      <w:r w:rsidR="00742BD8">
        <w:rPr>
          <w:color w:val="000000"/>
          <w:sz w:val="22"/>
          <w:szCs w:val="22"/>
        </w:rPr>
        <w:t xml:space="preserve">L’objectif final du développement de </w:t>
      </w:r>
      <w:r w:rsidR="006463AD">
        <w:rPr>
          <w:color w:val="000000"/>
          <w:sz w:val="22"/>
          <w:szCs w:val="22"/>
        </w:rPr>
        <w:t xml:space="preserve">la méthode de PCR en temps réel </w:t>
      </w:r>
      <w:proofErr w:type="spellStart"/>
      <w:r w:rsidR="00742BD8">
        <w:rPr>
          <w:color w:val="000000"/>
          <w:sz w:val="22"/>
          <w:szCs w:val="22"/>
        </w:rPr>
        <w:t>Geno</w:t>
      </w:r>
      <w:r w:rsidR="00742BD8" w:rsidRPr="00742BD8">
        <w:rPr>
          <w:i/>
          <w:color w:val="000000"/>
          <w:sz w:val="22"/>
          <w:szCs w:val="22"/>
        </w:rPr>
        <w:t>Listeria</w:t>
      </w:r>
      <w:proofErr w:type="spellEnd"/>
      <w:r w:rsidR="00742BD8" w:rsidRPr="00742BD8">
        <w:rPr>
          <w:i/>
          <w:color w:val="000000"/>
          <w:sz w:val="22"/>
          <w:szCs w:val="22"/>
        </w:rPr>
        <w:t xml:space="preserve"> </w:t>
      </w:r>
      <w:r w:rsidR="006463AD">
        <w:rPr>
          <w:color w:val="000000"/>
          <w:sz w:val="22"/>
          <w:szCs w:val="22"/>
        </w:rPr>
        <w:t>sera</w:t>
      </w:r>
      <w:r w:rsidR="00822278">
        <w:rPr>
          <w:color w:val="000000"/>
          <w:sz w:val="22"/>
          <w:szCs w:val="22"/>
        </w:rPr>
        <w:t xml:space="preserve"> d’</w:t>
      </w:r>
      <w:r w:rsidR="006463AD">
        <w:rPr>
          <w:color w:val="000000"/>
          <w:sz w:val="22"/>
          <w:szCs w:val="22"/>
        </w:rPr>
        <w:t xml:space="preserve">être </w:t>
      </w:r>
      <w:r w:rsidR="00822278">
        <w:rPr>
          <w:color w:val="000000"/>
          <w:sz w:val="22"/>
          <w:szCs w:val="22"/>
        </w:rPr>
        <w:t>accrédit</w:t>
      </w:r>
      <w:r w:rsidR="006463AD">
        <w:rPr>
          <w:color w:val="000000"/>
          <w:sz w:val="22"/>
          <w:szCs w:val="22"/>
        </w:rPr>
        <w:t>ée</w:t>
      </w:r>
      <w:r w:rsidR="000A674E">
        <w:rPr>
          <w:color w:val="000000"/>
          <w:sz w:val="22"/>
          <w:szCs w:val="22"/>
        </w:rPr>
        <w:t xml:space="preserve"> selo</w:t>
      </w:r>
      <w:r w:rsidR="006463AD">
        <w:rPr>
          <w:color w:val="000000"/>
          <w:sz w:val="22"/>
          <w:szCs w:val="22"/>
        </w:rPr>
        <w:t>n les normes ISO 16140 et 17025</w:t>
      </w:r>
      <w:r w:rsidR="00822278">
        <w:rPr>
          <w:color w:val="000000"/>
          <w:sz w:val="22"/>
          <w:szCs w:val="22"/>
        </w:rPr>
        <w:t>,</w:t>
      </w:r>
      <w:r w:rsidR="006463AD">
        <w:rPr>
          <w:color w:val="000000"/>
          <w:sz w:val="22"/>
          <w:szCs w:val="22"/>
        </w:rPr>
        <w:t xml:space="preserve"> de</w:t>
      </w:r>
      <w:r w:rsidR="00822278">
        <w:rPr>
          <w:color w:val="000000"/>
          <w:sz w:val="22"/>
          <w:szCs w:val="22"/>
        </w:rPr>
        <w:t xml:space="preserve"> la diffuser largement aux partenaires de</w:t>
      </w:r>
      <w:r w:rsidR="008920F3">
        <w:rPr>
          <w:color w:val="000000"/>
          <w:sz w:val="22"/>
          <w:szCs w:val="22"/>
        </w:rPr>
        <w:t xml:space="preserve"> c</w:t>
      </w:r>
      <w:r w:rsidR="00822278">
        <w:rPr>
          <w:color w:val="000000"/>
          <w:sz w:val="22"/>
          <w:szCs w:val="22"/>
        </w:rPr>
        <w:t xml:space="preserve">e projet </w:t>
      </w:r>
      <w:r w:rsidR="000A674E">
        <w:rPr>
          <w:color w:val="000000"/>
          <w:sz w:val="22"/>
          <w:szCs w:val="22"/>
        </w:rPr>
        <w:t>et</w:t>
      </w:r>
      <w:r w:rsidR="006463AD">
        <w:rPr>
          <w:color w:val="000000"/>
          <w:sz w:val="22"/>
          <w:szCs w:val="22"/>
        </w:rPr>
        <w:t xml:space="preserve"> de</w:t>
      </w:r>
      <w:r w:rsidR="000A674E">
        <w:rPr>
          <w:color w:val="000000"/>
          <w:sz w:val="22"/>
          <w:szCs w:val="22"/>
        </w:rPr>
        <w:t xml:space="preserve"> </w:t>
      </w:r>
      <w:r w:rsidR="00822278">
        <w:rPr>
          <w:color w:val="000000"/>
          <w:sz w:val="22"/>
          <w:szCs w:val="22"/>
        </w:rPr>
        <w:t>la rendre dispo</w:t>
      </w:r>
      <w:r w:rsidR="000A674E">
        <w:rPr>
          <w:color w:val="000000"/>
          <w:sz w:val="22"/>
          <w:szCs w:val="22"/>
        </w:rPr>
        <w:t>nible dans le catalogue de prestation</w:t>
      </w:r>
      <w:r w:rsidR="006463AD">
        <w:rPr>
          <w:color w:val="000000"/>
          <w:sz w:val="22"/>
          <w:szCs w:val="22"/>
        </w:rPr>
        <w:t>s</w:t>
      </w:r>
      <w:r w:rsidR="000A674E">
        <w:rPr>
          <w:color w:val="000000"/>
          <w:sz w:val="22"/>
          <w:szCs w:val="22"/>
        </w:rPr>
        <w:t xml:space="preserve"> de l’ANSES.</w:t>
      </w:r>
    </w:p>
    <w:p w14:paraId="07CF593B" w14:textId="173542AC" w:rsidR="00F02CA6" w:rsidRDefault="00F02CA6" w:rsidP="00FC0CD4">
      <w:pPr>
        <w:pStyle w:val="Titre3"/>
        <w:spacing w:before="100" w:beforeAutospacing="1" w:after="100" w:afterAutospacing="1"/>
      </w:pPr>
      <w:bookmarkStart w:id="52" w:name="_Toc73027863"/>
      <w:r w:rsidRPr="00972912">
        <w:t>Matériel et méthodes</w:t>
      </w:r>
      <w:bookmarkEnd w:id="52"/>
    </w:p>
    <w:p w14:paraId="714B723C" w14:textId="18799636" w:rsidR="008920F3" w:rsidRDefault="008920F3" w:rsidP="00FA4D29">
      <w:pPr>
        <w:pStyle w:val="Titre4"/>
      </w:pPr>
      <w:r w:rsidRPr="008920F3">
        <w:tab/>
      </w:r>
      <w:r>
        <w:t>P</w:t>
      </w:r>
      <w:r w:rsidRPr="008920F3">
        <w:t>anel de g</w:t>
      </w:r>
      <w:r>
        <w:t>é</w:t>
      </w:r>
      <w:r w:rsidRPr="008920F3">
        <w:t>nomes et de souches</w:t>
      </w:r>
      <w:r>
        <w:t xml:space="preserve"> de </w:t>
      </w:r>
      <w:r w:rsidRPr="006463AD">
        <w:rPr>
          <w:i w:val="0"/>
        </w:rPr>
        <w:t>L</w:t>
      </w:r>
      <w:r w:rsidR="006463AD" w:rsidRPr="006463AD">
        <w:rPr>
          <w:i w:val="0"/>
        </w:rPr>
        <w:t>isteria</w:t>
      </w:r>
      <w:r w:rsidRPr="006463AD">
        <w:rPr>
          <w:i w:val="0"/>
        </w:rPr>
        <w:t xml:space="preserve"> </w:t>
      </w:r>
      <w:proofErr w:type="spellStart"/>
      <w:r w:rsidRPr="006463AD">
        <w:rPr>
          <w:i w:val="0"/>
        </w:rPr>
        <w:t>monocytogenes</w:t>
      </w:r>
      <w:proofErr w:type="spellEnd"/>
    </w:p>
    <w:p w14:paraId="21630A29" w14:textId="6A9656BD" w:rsidR="008920F3" w:rsidRPr="004E060F" w:rsidRDefault="008920F3" w:rsidP="004E060F">
      <w:r w:rsidRPr="004E060F">
        <w:t>Un premier panel destiné à l’analyse bio-informatique de 868 génomes a été constitué</w:t>
      </w:r>
      <w:r w:rsidR="00795192" w:rsidRPr="004E060F">
        <w:t xml:space="preserve"> pour identifier les positions spécifiques et sensibles des complexes clonaux ciblés</w:t>
      </w:r>
      <w:r w:rsidRPr="004E060F">
        <w:t> :</w:t>
      </w:r>
    </w:p>
    <w:p w14:paraId="6F897832" w14:textId="77777777" w:rsidR="008920F3" w:rsidRPr="004E060F" w:rsidRDefault="008920F3" w:rsidP="004E060F">
      <w:pPr>
        <w:pStyle w:val="Paragraphedeliste"/>
        <w:numPr>
          <w:ilvl w:val="0"/>
          <w:numId w:val="4"/>
        </w:numPr>
        <w:spacing w:before="100" w:beforeAutospacing="1" w:after="120"/>
        <w:rPr>
          <w:sz w:val="24"/>
          <w:szCs w:val="24"/>
        </w:rPr>
      </w:pPr>
      <w:r w:rsidRPr="004E060F">
        <w:rPr>
          <w:sz w:val="24"/>
          <w:szCs w:val="24"/>
        </w:rPr>
        <w:t xml:space="preserve">630 données brutes de séquençage de souches de </w:t>
      </w:r>
      <w:r w:rsidRPr="004E060F">
        <w:rPr>
          <w:i/>
          <w:sz w:val="24"/>
          <w:szCs w:val="24"/>
        </w:rPr>
        <w:t xml:space="preserve">Listeria </w:t>
      </w:r>
      <w:proofErr w:type="spellStart"/>
      <w:r w:rsidRPr="004E060F">
        <w:rPr>
          <w:i/>
          <w:sz w:val="24"/>
          <w:szCs w:val="24"/>
        </w:rPr>
        <w:t>monocytogenes</w:t>
      </w:r>
      <w:proofErr w:type="spellEnd"/>
      <w:r w:rsidRPr="004E060F">
        <w:rPr>
          <w:sz w:val="24"/>
          <w:szCs w:val="24"/>
        </w:rPr>
        <w:t xml:space="preserve"> disponibles sur NCBI </w:t>
      </w:r>
      <w:proofErr w:type="spellStart"/>
      <w:r w:rsidRPr="004E060F">
        <w:rPr>
          <w:sz w:val="24"/>
          <w:szCs w:val="24"/>
        </w:rPr>
        <w:t>sequence</w:t>
      </w:r>
      <w:proofErr w:type="spellEnd"/>
      <w:r w:rsidRPr="004E060F">
        <w:rPr>
          <w:sz w:val="24"/>
          <w:szCs w:val="24"/>
        </w:rPr>
        <w:t xml:space="preserve"> </w:t>
      </w:r>
      <w:proofErr w:type="spellStart"/>
      <w:r w:rsidRPr="004E060F">
        <w:rPr>
          <w:sz w:val="24"/>
          <w:szCs w:val="24"/>
        </w:rPr>
        <w:t>read</w:t>
      </w:r>
      <w:proofErr w:type="spellEnd"/>
      <w:r w:rsidRPr="004E060F">
        <w:rPr>
          <w:sz w:val="24"/>
          <w:szCs w:val="24"/>
        </w:rPr>
        <w:t xml:space="preserve"> archive (NCBI-SRA - </w:t>
      </w:r>
      <w:hyperlink r:id="rId15" w:history="1">
        <w:r w:rsidRPr="004E060F">
          <w:rPr>
            <w:rStyle w:val="Lienhypertexte"/>
            <w:sz w:val="24"/>
            <w:szCs w:val="24"/>
          </w:rPr>
          <w:t>https://www.ncbi.nlm.nih.gov/</w:t>
        </w:r>
      </w:hyperlink>
      <w:r w:rsidRPr="004E060F">
        <w:rPr>
          <w:sz w:val="24"/>
          <w:szCs w:val="24"/>
        </w:rPr>
        <w:t>) et de l’</w:t>
      </w:r>
      <w:proofErr w:type="spellStart"/>
      <w:r w:rsidRPr="004E060F">
        <w:rPr>
          <w:sz w:val="24"/>
          <w:szCs w:val="24"/>
        </w:rPr>
        <w:t>European</w:t>
      </w:r>
      <w:proofErr w:type="spellEnd"/>
      <w:r w:rsidRPr="004E060F">
        <w:rPr>
          <w:sz w:val="24"/>
          <w:szCs w:val="24"/>
        </w:rPr>
        <w:t xml:space="preserve"> </w:t>
      </w:r>
      <w:proofErr w:type="spellStart"/>
      <w:r w:rsidRPr="004E060F">
        <w:rPr>
          <w:sz w:val="24"/>
          <w:szCs w:val="24"/>
        </w:rPr>
        <w:t>Molecular</w:t>
      </w:r>
      <w:proofErr w:type="spellEnd"/>
      <w:r w:rsidRPr="004E060F">
        <w:rPr>
          <w:sz w:val="24"/>
          <w:szCs w:val="24"/>
        </w:rPr>
        <w:t xml:space="preserve"> </w:t>
      </w:r>
      <w:proofErr w:type="spellStart"/>
      <w:r w:rsidRPr="004E060F">
        <w:rPr>
          <w:sz w:val="24"/>
          <w:szCs w:val="24"/>
        </w:rPr>
        <w:t>Biology</w:t>
      </w:r>
      <w:proofErr w:type="spellEnd"/>
      <w:r w:rsidRPr="004E060F">
        <w:rPr>
          <w:sz w:val="24"/>
          <w:szCs w:val="24"/>
        </w:rPr>
        <w:t xml:space="preserve"> </w:t>
      </w:r>
      <w:proofErr w:type="spellStart"/>
      <w:r w:rsidRPr="004E060F">
        <w:rPr>
          <w:sz w:val="24"/>
          <w:szCs w:val="24"/>
        </w:rPr>
        <w:t>Laboratory</w:t>
      </w:r>
      <w:proofErr w:type="spellEnd"/>
      <w:r w:rsidRPr="004E060F">
        <w:rPr>
          <w:sz w:val="24"/>
          <w:szCs w:val="24"/>
        </w:rPr>
        <w:t xml:space="preserve"> – </w:t>
      </w:r>
      <w:proofErr w:type="spellStart"/>
      <w:r w:rsidRPr="004E060F">
        <w:rPr>
          <w:sz w:val="24"/>
          <w:szCs w:val="24"/>
        </w:rPr>
        <w:t>European</w:t>
      </w:r>
      <w:proofErr w:type="spellEnd"/>
      <w:r w:rsidRPr="004E060F">
        <w:rPr>
          <w:sz w:val="24"/>
          <w:szCs w:val="24"/>
        </w:rPr>
        <w:t xml:space="preserve"> </w:t>
      </w:r>
      <w:proofErr w:type="spellStart"/>
      <w:r w:rsidRPr="004E060F">
        <w:rPr>
          <w:sz w:val="24"/>
          <w:szCs w:val="24"/>
        </w:rPr>
        <w:t>Bioinformatics</w:t>
      </w:r>
      <w:proofErr w:type="spellEnd"/>
      <w:r w:rsidRPr="004E060F">
        <w:rPr>
          <w:sz w:val="24"/>
          <w:szCs w:val="24"/>
        </w:rPr>
        <w:t xml:space="preserve"> Institute (EMBL-EBI) </w:t>
      </w:r>
      <w:proofErr w:type="spellStart"/>
      <w:r w:rsidRPr="004E060F">
        <w:rPr>
          <w:sz w:val="24"/>
          <w:szCs w:val="24"/>
        </w:rPr>
        <w:t>European</w:t>
      </w:r>
      <w:proofErr w:type="spellEnd"/>
      <w:r w:rsidRPr="004E060F">
        <w:rPr>
          <w:sz w:val="24"/>
          <w:szCs w:val="24"/>
        </w:rPr>
        <w:t xml:space="preserve"> </w:t>
      </w:r>
      <w:proofErr w:type="spellStart"/>
      <w:r w:rsidRPr="004E060F">
        <w:rPr>
          <w:sz w:val="24"/>
          <w:szCs w:val="24"/>
        </w:rPr>
        <w:t>Nucleotide</w:t>
      </w:r>
      <w:proofErr w:type="spellEnd"/>
      <w:r w:rsidRPr="004E060F">
        <w:rPr>
          <w:sz w:val="24"/>
          <w:szCs w:val="24"/>
        </w:rPr>
        <w:t xml:space="preserve"> Archive (EMBL-EBI ENA - </w:t>
      </w:r>
      <w:hyperlink r:id="rId16" w:history="1">
        <w:r w:rsidRPr="004E060F">
          <w:rPr>
            <w:rStyle w:val="Lienhypertexte"/>
            <w:sz w:val="24"/>
            <w:szCs w:val="24"/>
          </w:rPr>
          <w:t>https://www.ebi.ac.uk/ena</w:t>
        </w:r>
      </w:hyperlink>
      <w:r w:rsidRPr="004E060F">
        <w:rPr>
          <w:sz w:val="24"/>
          <w:szCs w:val="24"/>
        </w:rPr>
        <w:t xml:space="preserve">). L’assemblage des génomes a été réalisé via </w:t>
      </w:r>
      <w:proofErr w:type="spellStart"/>
      <w:r w:rsidRPr="004E060F">
        <w:rPr>
          <w:sz w:val="24"/>
          <w:szCs w:val="24"/>
        </w:rPr>
        <w:t>BioNumerics</w:t>
      </w:r>
      <w:proofErr w:type="spellEnd"/>
      <w:r w:rsidRPr="004E060F">
        <w:rPr>
          <w:sz w:val="24"/>
          <w:szCs w:val="24"/>
        </w:rPr>
        <w:t xml:space="preserve"> version 7.6 et le </w:t>
      </w:r>
      <w:proofErr w:type="spellStart"/>
      <w:r w:rsidRPr="004E060F">
        <w:rPr>
          <w:sz w:val="24"/>
          <w:szCs w:val="24"/>
        </w:rPr>
        <w:t>Calculation</w:t>
      </w:r>
      <w:proofErr w:type="spellEnd"/>
      <w:r w:rsidRPr="004E060F">
        <w:rPr>
          <w:sz w:val="24"/>
          <w:szCs w:val="24"/>
        </w:rPr>
        <w:t xml:space="preserve"> Engine développé à l’ANSES (</w:t>
      </w:r>
      <w:proofErr w:type="spellStart"/>
      <w:r w:rsidRPr="004E060F">
        <w:rPr>
          <w:sz w:val="24"/>
          <w:szCs w:val="24"/>
        </w:rPr>
        <w:t>BioMérieux</w:t>
      </w:r>
      <w:proofErr w:type="spellEnd"/>
      <w:r w:rsidRPr="004E060F">
        <w:rPr>
          <w:sz w:val="24"/>
          <w:szCs w:val="24"/>
        </w:rPr>
        <w:t xml:space="preserve"> </w:t>
      </w:r>
      <w:proofErr w:type="spellStart"/>
      <w:r w:rsidRPr="004E060F">
        <w:rPr>
          <w:sz w:val="24"/>
          <w:szCs w:val="24"/>
        </w:rPr>
        <w:t>Applied</w:t>
      </w:r>
      <w:proofErr w:type="spellEnd"/>
      <w:r w:rsidRPr="004E060F">
        <w:rPr>
          <w:sz w:val="24"/>
          <w:szCs w:val="24"/>
        </w:rPr>
        <w:t xml:space="preserve"> Maths, Sint-Martens-Latem, </w:t>
      </w:r>
      <w:proofErr w:type="spellStart"/>
      <w:r w:rsidRPr="004E060F">
        <w:rPr>
          <w:sz w:val="24"/>
          <w:szCs w:val="24"/>
        </w:rPr>
        <w:t>Belgium</w:t>
      </w:r>
      <w:proofErr w:type="spellEnd"/>
      <w:r w:rsidRPr="004E060F">
        <w:rPr>
          <w:sz w:val="24"/>
          <w:szCs w:val="24"/>
        </w:rPr>
        <w:t>).</w:t>
      </w:r>
    </w:p>
    <w:p w14:paraId="07D503F0" w14:textId="3699B82F" w:rsidR="008920F3" w:rsidRPr="004E060F" w:rsidRDefault="008920F3" w:rsidP="004E060F">
      <w:pPr>
        <w:pStyle w:val="Paragraphedeliste"/>
        <w:numPr>
          <w:ilvl w:val="0"/>
          <w:numId w:val="4"/>
        </w:numPr>
        <w:spacing w:before="100" w:beforeAutospacing="1" w:after="120"/>
        <w:rPr>
          <w:sz w:val="24"/>
          <w:szCs w:val="24"/>
        </w:rPr>
      </w:pPr>
      <w:r w:rsidRPr="004E060F">
        <w:rPr>
          <w:sz w:val="24"/>
          <w:szCs w:val="24"/>
        </w:rPr>
        <w:t xml:space="preserve">162 génomes de souches </w:t>
      </w:r>
      <w:r w:rsidR="00795192" w:rsidRPr="004E060F">
        <w:rPr>
          <w:sz w:val="24"/>
          <w:szCs w:val="24"/>
        </w:rPr>
        <w:t xml:space="preserve">proviennent </w:t>
      </w:r>
      <w:r w:rsidRPr="004E060F">
        <w:rPr>
          <w:sz w:val="24"/>
          <w:szCs w:val="24"/>
        </w:rPr>
        <w:t>de plans de surveillance et de projets de recherche menés à l’ANSES</w:t>
      </w:r>
      <w:r w:rsidR="004E060F">
        <w:rPr>
          <w:sz w:val="24"/>
          <w:szCs w:val="24"/>
        </w:rPr>
        <w:t xml:space="preserve"> </w:t>
      </w:r>
      <w:r w:rsidR="004E060F">
        <w:rPr>
          <w:sz w:val="24"/>
          <w:szCs w:val="24"/>
        </w:rPr>
        <w:fldChar w:fldCharType="begin">
          <w:fldData xml:space="preserve">PEVuZE5vdGU+PENpdGU+PEF1dGhvcj5IZW5yaTwvQXV0aG9yPjxZZWFyPjIwMTY8L1llYXI+PFJl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</w:fldData>
        </w:fldChar>
      </w:r>
      <w:r w:rsidR="004E060F">
        <w:rPr>
          <w:sz w:val="24"/>
          <w:szCs w:val="24"/>
        </w:rPr>
        <w:instrText xml:space="preserve"> ADDIN EN.CITE </w:instrText>
      </w:r>
      <w:r w:rsidR="004E060F">
        <w:rPr>
          <w:sz w:val="24"/>
          <w:szCs w:val="24"/>
        </w:rPr>
        <w:fldChar w:fldCharType="begin">
          <w:fldData xml:space="preserve">PEVuZE5vdGU+PENpdGU+PEF1dGhvcj5IZW5yaTwvQXV0aG9yPjxZZWFyPjIwMTY8L1llYXI+PFJl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</w:fldData>
        </w:fldChar>
      </w:r>
      <w:r w:rsidR="004E060F">
        <w:rPr>
          <w:sz w:val="24"/>
          <w:szCs w:val="24"/>
        </w:rPr>
        <w:instrText xml:space="preserve"> ADDIN EN.CITE.DATA </w:instrText>
      </w:r>
      <w:r w:rsidR="004E060F">
        <w:rPr>
          <w:sz w:val="24"/>
          <w:szCs w:val="24"/>
        </w:rPr>
      </w:r>
      <w:r w:rsidR="004E060F">
        <w:rPr>
          <w:sz w:val="24"/>
          <w:szCs w:val="24"/>
        </w:rPr>
        <w:fldChar w:fldCharType="end"/>
      </w:r>
      <w:r w:rsidR="004E060F">
        <w:rPr>
          <w:sz w:val="24"/>
          <w:szCs w:val="24"/>
        </w:rPr>
      </w:r>
      <w:r w:rsidR="004E060F">
        <w:rPr>
          <w:sz w:val="24"/>
          <w:szCs w:val="24"/>
        </w:rPr>
        <w:fldChar w:fldCharType="separate"/>
      </w:r>
      <w:r w:rsidR="004E060F">
        <w:rPr>
          <w:noProof/>
          <w:sz w:val="24"/>
          <w:szCs w:val="24"/>
        </w:rPr>
        <w:t>(Henri</w:t>
      </w:r>
      <w:r w:rsidR="004E060F" w:rsidRPr="004E060F">
        <w:rPr>
          <w:i/>
          <w:noProof/>
          <w:sz w:val="24"/>
          <w:szCs w:val="24"/>
        </w:rPr>
        <w:t xml:space="preserve"> et al.</w:t>
      </w:r>
      <w:r w:rsidR="004E060F">
        <w:rPr>
          <w:noProof/>
          <w:sz w:val="24"/>
          <w:szCs w:val="24"/>
        </w:rPr>
        <w:t>, 2016, Nielsen</w:t>
      </w:r>
      <w:r w:rsidR="004E060F" w:rsidRPr="004E060F">
        <w:rPr>
          <w:i/>
          <w:noProof/>
          <w:sz w:val="24"/>
          <w:szCs w:val="24"/>
        </w:rPr>
        <w:t xml:space="preserve"> et al.</w:t>
      </w:r>
      <w:r w:rsidR="004E060F">
        <w:rPr>
          <w:noProof/>
          <w:sz w:val="24"/>
          <w:szCs w:val="24"/>
        </w:rPr>
        <w:t>, 2017)</w:t>
      </w:r>
      <w:r w:rsidR="004E060F">
        <w:rPr>
          <w:sz w:val="24"/>
          <w:szCs w:val="24"/>
        </w:rPr>
        <w:fldChar w:fldCharType="end"/>
      </w:r>
      <w:r w:rsidRPr="004E060F">
        <w:rPr>
          <w:sz w:val="24"/>
          <w:szCs w:val="24"/>
        </w:rPr>
        <w:t>.</w:t>
      </w:r>
    </w:p>
    <w:p w14:paraId="1204C5B6" w14:textId="122C495E" w:rsidR="008920F3" w:rsidRPr="004E060F" w:rsidRDefault="008920F3" w:rsidP="004E060F">
      <w:pPr>
        <w:pStyle w:val="Paragraphedeliste"/>
        <w:numPr>
          <w:ilvl w:val="0"/>
          <w:numId w:val="4"/>
        </w:numPr>
        <w:spacing w:before="100" w:beforeAutospacing="1" w:after="120"/>
        <w:rPr>
          <w:sz w:val="24"/>
          <w:szCs w:val="24"/>
        </w:rPr>
      </w:pPr>
      <w:r w:rsidRPr="004E060F">
        <w:rPr>
          <w:sz w:val="24"/>
          <w:szCs w:val="24"/>
        </w:rPr>
        <w:lastRenderedPageBreak/>
        <w:t xml:space="preserve">73 génomes de souches </w:t>
      </w:r>
      <w:r w:rsidR="004E060F">
        <w:rPr>
          <w:sz w:val="24"/>
          <w:szCs w:val="24"/>
        </w:rPr>
        <w:t>sont</w:t>
      </w:r>
      <w:r w:rsidRPr="004E060F">
        <w:rPr>
          <w:sz w:val="24"/>
          <w:szCs w:val="24"/>
        </w:rPr>
        <w:t xml:space="preserve"> fournis par les </w:t>
      </w:r>
      <w:proofErr w:type="spellStart"/>
      <w:r w:rsidRPr="004E060F">
        <w:rPr>
          <w:sz w:val="24"/>
          <w:szCs w:val="24"/>
        </w:rPr>
        <w:t>LNRs</w:t>
      </w:r>
      <w:proofErr w:type="spellEnd"/>
      <w:r w:rsidRPr="004E060F">
        <w:rPr>
          <w:sz w:val="24"/>
          <w:szCs w:val="24"/>
        </w:rPr>
        <w:t xml:space="preserve"> Européen pour </w:t>
      </w:r>
      <w:r w:rsidRPr="004E060F">
        <w:rPr>
          <w:i/>
          <w:sz w:val="24"/>
          <w:szCs w:val="24"/>
        </w:rPr>
        <w:t xml:space="preserve">L. </w:t>
      </w:r>
      <w:proofErr w:type="spellStart"/>
      <w:r w:rsidRPr="004E060F">
        <w:rPr>
          <w:i/>
          <w:sz w:val="24"/>
          <w:szCs w:val="24"/>
        </w:rPr>
        <w:t>monocytogenes</w:t>
      </w:r>
      <w:proofErr w:type="spellEnd"/>
      <w:r w:rsidRPr="004E060F">
        <w:rPr>
          <w:sz w:val="24"/>
          <w:szCs w:val="24"/>
        </w:rPr>
        <w:t xml:space="preserve"> (AT, CZ, DE, IE, LU, NL, MK, NO, SK, SI). Ces génomes ont été produit</w:t>
      </w:r>
      <w:r w:rsidR="00795192" w:rsidRPr="004E060F">
        <w:rPr>
          <w:sz w:val="24"/>
          <w:szCs w:val="24"/>
        </w:rPr>
        <w:t>s</w:t>
      </w:r>
      <w:r w:rsidRPr="004E060F">
        <w:rPr>
          <w:sz w:val="24"/>
          <w:szCs w:val="24"/>
        </w:rPr>
        <w:t xml:space="preserve">, soit par les </w:t>
      </w:r>
      <w:proofErr w:type="spellStart"/>
      <w:r w:rsidRPr="004E060F">
        <w:rPr>
          <w:sz w:val="24"/>
          <w:szCs w:val="24"/>
        </w:rPr>
        <w:t>LNRs</w:t>
      </w:r>
      <w:proofErr w:type="spellEnd"/>
      <w:r w:rsidRPr="004E060F">
        <w:rPr>
          <w:sz w:val="24"/>
          <w:szCs w:val="24"/>
        </w:rPr>
        <w:t xml:space="preserve"> soit par l’ANSES dans le cadre de projet</w:t>
      </w:r>
      <w:r w:rsidR="006463AD">
        <w:rPr>
          <w:sz w:val="24"/>
          <w:szCs w:val="24"/>
        </w:rPr>
        <w:t>s</w:t>
      </w:r>
      <w:r w:rsidRPr="004E060F">
        <w:rPr>
          <w:sz w:val="24"/>
          <w:szCs w:val="24"/>
        </w:rPr>
        <w:t xml:space="preserve"> de recherche ou d’investigations de toxi-infection alimentaire collectives (TIAC).</w:t>
      </w:r>
    </w:p>
    <w:p w14:paraId="5C21A172" w14:textId="77777777" w:rsidR="008920F3" w:rsidRPr="004E060F" w:rsidRDefault="008920F3" w:rsidP="004E060F">
      <w:pPr>
        <w:pStyle w:val="Paragraphedeliste"/>
        <w:numPr>
          <w:ilvl w:val="0"/>
          <w:numId w:val="4"/>
        </w:numPr>
        <w:spacing w:before="100" w:beforeAutospacing="1" w:after="120"/>
        <w:rPr>
          <w:sz w:val="24"/>
          <w:szCs w:val="24"/>
        </w:rPr>
      </w:pPr>
      <w:r w:rsidRPr="004E060F">
        <w:rPr>
          <w:sz w:val="24"/>
          <w:szCs w:val="24"/>
        </w:rPr>
        <w:t>3 génomes de souches isolées par l’IFIP.</w:t>
      </w:r>
    </w:p>
    <w:p w14:paraId="113B7373" w14:textId="2CD05B3B" w:rsidR="008920F3" w:rsidRPr="004E060F" w:rsidRDefault="008920F3" w:rsidP="004E060F">
      <w:pPr>
        <w:ind w:left="460"/>
      </w:pPr>
      <w:r w:rsidRPr="004E060F">
        <w:t>Pour 29,2% (n=255)</w:t>
      </w:r>
      <w:r w:rsidR="006463AD">
        <w:t>,</w:t>
      </w:r>
      <w:r w:rsidRPr="004E060F">
        <w:t xml:space="preserve"> ces souches ont été isolées </w:t>
      </w:r>
      <w:r w:rsidR="006463AD">
        <w:t>dans</w:t>
      </w:r>
      <w:r w:rsidRPr="004E060F">
        <w:t xml:space="preserve"> </w:t>
      </w:r>
      <w:r w:rsidR="00795192" w:rsidRPr="004E060F">
        <w:t xml:space="preserve">19 </w:t>
      </w:r>
      <w:r w:rsidRPr="004E060F">
        <w:t>pays hors de l’Europe, les autres souches ont été isolées dans 18 pays d’Europe.</w:t>
      </w:r>
    </w:p>
    <w:p w14:paraId="5E4DC22E" w14:textId="372BCEA1" w:rsidR="003A280B" w:rsidRDefault="008920F3" w:rsidP="00FA4D29">
      <w:pPr>
        <w:pStyle w:val="Titre5"/>
      </w:pPr>
      <w:r>
        <w:t>Panel de gé</w:t>
      </w:r>
      <w:r w:rsidRPr="008920F3">
        <w:t xml:space="preserve">nomes pour la validation </w:t>
      </w:r>
      <w:r w:rsidRPr="008920F3">
        <w:rPr>
          <w:i/>
        </w:rPr>
        <w:t>in silico</w:t>
      </w:r>
      <w:r w:rsidRPr="008920F3">
        <w:t xml:space="preserve"> des couples de sondes et d’amorces</w:t>
      </w:r>
    </w:p>
    <w:p w14:paraId="402E49F5" w14:textId="49EA1C96" w:rsidR="008920F3" w:rsidRDefault="008920F3" w:rsidP="008920F3">
      <w:r>
        <w:t xml:space="preserve">Une second panel de </w:t>
      </w:r>
      <w:r w:rsidRPr="00875499">
        <w:t xml:space="preserve">2299 génomes de </w:t>
      </w:r>
      <w:r w:rsidRPr="00875499">
        <w:rPr>
          <w:i/>
        </w:rPr>
        <w:t>L</w:t>
      </w:r>
      <w:r>
        <w:rPr>
          <w:i/>
        </w:rPr>
        <w:t xml:space="preserve">. </w:t>
      </w:r>
      <w:proofErr w:type="spellStart"/>
      <w:r w:rsidRPr="00875499">
        <w:rPr>
          <w:i/>
        </w:rPr>
        <w:t>monocytogenes</w:t>
      </w:r>
      <w:proofErr w:type="spellEnd"/>
      <w:r w:rsidRPr="00875499">
        <w:t xml:space="preserve"> et de </w:t>
      </w:r>
      <w:r>
        <w:t>89 génomes de souches non-</w:t>
      </w:r>
      <w:r w:rsidRPr="00875499">
        <w:rPr>
          <w:i/>
        </w:rPr>
        <w:t xml:space="preserve"> L</w:t>
      </w:r>
      <w:r>
        <w:rPr>
          <w:i/>
        </w:rPr>
        <w:t xml:space="preserve">. </w:t>
      </w:r>
      <w:proofErr w:type="spellStart"/>
      <w:r w:rsidRPr="00875499">
        <w:rPr>
          <w:i/>
        </w:rPr>
        <w:t>monocytogenes</w:t>
      </w:r>
      <w:proofErr w:type="spellEnd"/>
      <w:r w:rsidRPr="00875499">
        <w:t xml:space="preserve"> </w:t>
      </w:r>
      <w:r>
        <w:t xml:space="preserve">a été constitué à partir de la base de données </w:t>
      </w:r>
      <w:proofErr w:type="spellStart"/>
      <w:r>
        <w:t>Assembly</w:t>
      </w:r>
      <w:proofErr w:type="spellEnd"/>
      <w:r>
        <w:t xml:space="preserve"> du </w:t>
      </w:r>
      <w:r w:rsidRPr="00875499">
        <w:t xml:space="preserve">National Center for </w:t>
      </w:r>
      <w:proofErr w:type="spellStart"/>
      <w:r w:rsidRPr="00875499">
        <w:t>Biotechnology</w:t>
      </w:r>
      <w:proofErr w:type="spellEnd"/>
      <w:r w:rsidRPr="00875499">
        <w:t xml:space="preserve"> Information</w:t>
      </w:r>
      <w:r>
        <w:t xml:space="preserve"> (NCBI) (</w:t>
      </w:r>
      <w:hyperlink r:id="rId17" w:history="1">
        <w:r w:rsidRPr="00F72C36">
          <w:rPr>
            <w:rStyle w:val="Lienhypertexte"/>
          </w:rPr>
          <w:t>https://www.ncbi.nlm.nih.gov/assembly</w:t>
        </w:r>
      </w:hyperlink>
      <w:r>
        <w:t xml:space="preserve">) à partir des génomes de </w:t>
      </w:r>
      <w:r>
        <w:rPr>
          <w:i/>
        </w:rPr>
        <w:t>L.</w:t>
      </w:r>
      <w:r w:rsidRPr="00A32808">
        <w:rPr>
          <w:i/>
        </w:rPr>
        <w:t xml:space="preserve"> </w:t>
      </w:r>
      <w:proofErr w:type="spellStart"/>
      <w:r w:rsidRPr="00A32808">
        <w:rPr>
          <w:i/>
        </w:rPr>
        <w:t>monocytogenes</w:t>
      </w:r>
      <w:proofErr w:type="spellEnd"/>
      <w:r w:rsidRPr="00A32808">
        <w:rPr>
          <w:i/>
        </w:rPr>
        <w:t xml:space="preserve"> </w:t>
      </w:r>
      <w:r>
        <w:t>disponibles</w:t>
      </w:r>
      <w:r w:rsidRPr="0047761B">
        <w:t xml:space="preserve"> </w:t>
      </w:r>
      <w:r>
        <w:t>le 28 Juin 2019.</w:t>
      </w:r>
      <w:r w:rsidR="00795192">
        <w:t xml:space="preserve"> Il a été utilisé pour valider les amorces définies avec le panel de la section 2.1.</w:t>
      </w:r>
    </w:p>
    <w:p w14:paraId="78AE3D93" w14:textId="03202FB0" w:rsidR="008920F3" w:rsidRDefault="008920F3" w:rsidP="00FA4D29">
      <w:pPr>
        <w:pStyle w:val="Titre5"/>
      </w:pPr>
      <w:r>
        <w:t>Souches de référence utilisé</w:t>
      </w:r>
      <w:r w:rsidRPr="008920F3">
        <w:t>es comme contrôles internes</w:t>
      </w:r>
    </w:p>
    <w:p w14:paraId="638C9590" w14:textId="6CE260BA" w:rsidR="008920F3" w:rsidRDefault="008920F3" w:rsidP="008920F3">
      <w:r>
        <w:t xml:space="preserve">Ce panel regroupe 30 souches appartenant à chacun des </w:t>
      </w:r>
      <w:proofErr w:type="spellStart"/>
      <w:r>
        <w:t>CC</w:t>
      </w:r>
      <w:r w:rsidR="006463AD">
        <w:t>s</w:t>
      </w:r>
      <w:proofErr w:type="spellEnd"/>
      <w:r>
        <w:t xml:space="preserve"> cibles (</w:t>
      </w:r>
      <w:r w:rsidR="00A33335">
        <w:fldChar w:fldCharType="begin"/>
      </w:r>
      <w:r w:rsidR="00A33335">
        <w:instrText xml:space="preserve"> REF _Ref72339167 \h </w:instrText>
      </w:r>
      <w:r w:rsidR="00A33335">
        <w:fldChar w:fldCharType="separate"/>
      </w:r>
      <w:r w:rsidR="00A33335">
        <w:t xml:space="preserve">Tableau </w:t>
      </w:r>
      <w:r w:rsidR="00A33335">
        <w:rPr>
          <w:noProof/>
        </w:rPr>
        <w:t>5</w:t>
      </w:r>
      <w:r w:rsidR="00A33335">
        <w:fldChar w:fldCharType="end"/>
      </w:r>
      <w:r>
        <w:t>). Ces souches sont issues majoritairement de la collection du Laboratoire National de Référence (LNR) Français sauf deux souches fournies par le LNR Hongrois et Slovaque respectivement. Le génome de toutes ces souches a été séquencé et la présence des sites de fixation des oligonucléotides, devant identifié le CC de la souche, a été vérifiée sur les génomes.</w:t>
      </w:r>
    </w:p>
    <w:p w14:paraId="27B6DC70" w14:textId="1405FABA" w:rsidR="00A33335" w:rsidRDefault="00A33335" w:rsidP="008920F3"/>
    <w:p w14:paraId="2352AC3A" w14:textId="5EDAFAD2" w:rsidR="008920F3" w:rsidRDefault="00A33335" w:rsidP="00A33335">
      <w:pPr>
        <w:pStyle w:val="Lgende"/>
      </w:pPr>
      <w:bookmarkStart w:id="53" w:name="_Ref72339167"/>
      <w:bookmarkStart w:id="54" w:name="_Toc73027715"/>
      <w:r>
        <w:t xml:space="preserve">Tableau </w:t>
      </w:r>
      <w:r w:rsidR="00657B21">
        <w:fldChar w:fldCharType="begin"/>
      </w:r>
      <w:r w:rsidR="00657B21">
        <w:instrText xml:space="preserve"> SEQ Tableau \* ARABIC </w:instrText>
      </w:r>
      <w:r w:rsidR="00657B21">
        <w:fldChar w:fldCharType="separate"/>
      </w:r>
      <w:r w:rsidR="003E5038">
        <w:rPr>
          <w:noProof/>
        </w:rPr>
        <w:t>5</w:t>
      </w:r>
      <w:r w:rsidR="00657B21">
        <w:rPr>
          <w:noProof/>
        </w:rPr>
        <w:fldChar w:fldCharType="end"/>
      </w:r>
      <w:bookmarkEnd w:id="53"/>
      <w:r>
        <w:t> :</w:t>
      </w:r>
      <w:r w:rsidR="008920F3">
        <w:t xml:space="preserve"> Souches utilisées comme contrôles internes de </w:t>
      </w:r>
      <w:r w:rsidR="00765DA0">
        <w:t xml:space="preserve">la méthode </w:t>
      </w:r>
      <w:r w:rsidR="008920F3">
        <w:t xml:space="preserve">PCR </w:t>
      </w:r>
      <w:r w:rsidR="00765DA0">
        <w:t xml:space="preserve">en temps réel </w:t>
      </w:r>
      <w:proofErr w:type="spellStart"/>
      <w:r w:rsidR="008920F3">
        <w:t>Geno</w:t>
      </w:r>
      <w:r w:rsidR="008920F3" w:rsidRPr="00EB7184">
        <w:rPr>
          <w:i/>
        </w:rPr>
        <w:t>Listeria</w:t>
      </w:r>
      <w:bookmarkEnd w:id="54"/>
      <w:proofErr w:type="spellEnd"/>
    </w:p>
    <w:p w14:paraId="0AE7A899" w14:textId="2B72B0FE" w:rsidR="008920F3" w:rsidRDefault="008920F3" w:rsidP="008920F3">
      <w:pPr>
        <w:jc w:val="center"/>
        <w:rPr>
          <w:lang w:eastAsia="en-US" w:bidi="en-US"/>
        </w:rPr>
      </w:pPr>
      <w:r w:rsidRPr="00CD09BA">
        <w:rPr>
          <w:noProof/>
        </w:rPr>
        <w:lastRenderedPageBreak/>
        <w:drawing>
          <wp:inline distT="0" distB="0" distL="0" distR="0" wp14:anchorId="092662D5" wp14:editId="20AA4944">
            <wp:extent cx="5765165" cy="3100208"/>
            <wp:effectExtent l="0" t="0" r="6985" b="508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5165" cy="3100208"/>
                    </a:xfrm>
                    <a:prstGeom prst="rect">
                      <a:avLst/>
                    </a:prstGeom>
                    <a:noFill/>
                    <a:ln>
                      <a:noFill/>
                    </a:ln>
                  </pic:spPr>
                </pic:pic>
              </a:graphicData>
            </a:graphic>
          </wp:inline>
        </w:drawing>
      </w:r>
    </w:p>
    <w:p w14:paraId="69FCBCE3" w14:textId="5C2D4622" w:rsidR="008920F3" w:rsidRDefault="008920F3" w:rsidP="00FA4D29">
      <w:pPr>
        <w:pStyle w:val="Titre5"/>
      </w:pPr>
      <w:r>
        <w:t>P</w:t>
      </w:r>
      <w:r w:rsidRPr="008920F3">
        <w:t>anel de 135 souches de terrain déjà typées par PFGE</w:t>
      </w:r>
    </w:p>
    <w:p w14:paraId="2539E191" w14:textId="7E4A9767" w:rsidR="008920F3" w:rsidRDefault="008920F3" w:rsidP="008920F3">
      <w:pPr>
        <w:rPr>
          <w:lang w:eastAsia="en-US" w:bidi="en-US"/>
        </w:rPr>
      </w:pPr>
      <w:r w:rsidRPr="008920F3">
        <w:rPr>
          <w:lang w:eastAsia="en-US" w:bidi="en-US"/>
        </w:rPr>
        <w:t>Ce panel regroupe 135 souches. Parmi ces souches, 52 proviennent de produit</w:t>
      </w:r>
      <w:r w:rsidR="00A57196">
        <w:rPr>
          <w:lang w:eastAsia="en-US" w:bidi="en-US"/>
        </w:rPr>
        <w:t>s</w:t>
      </w:r>
      <w:r w:rsidRPr="008920F3">
        <w:rPr>
          <w:lang w:eastAsia="en-US" w:bidi="en-US"/>
        </w:rPr>
        <w:t xml:space="preserve"> laitiers en majorité et ont été typées par PFGE </w:t>
      </w:r>
      <w:r w:rsidR="00C61BFD">
        <w:rPr>
          <w:lang w:eastAsia="en-US" w:bidi="en-US"/>
        </w:rPr>
        <w:t>par l’ADRIA de Quimper (Annexe 1</w:t>
      </w:r>
      <w:r w:rsidRPr="008920F3">
        <w:rPr>
          <w:lang w:eastAsia="en-US" w:bidi="en-US"/>
        </w:rPr>
        <w:t xml:space="preserve">), 40 souches proviennent de produits de la pêche et ont été typées par PFGE </w:t>
      </w:r>
      <w:r w:rsidR="00765DA0">
        <w:rPr>
          <w:lang w:eastAsia="en-US" w:bidi="en-US"/>
        </w:rPr>
        <w:t>à l’</w:t>
      </w:r>
      <w:r w:rsidR="006B22C9">
        <w:rPr>
          <w:lang w:eastAsia="en-US" w:bidi="en-US"/>
        </w:rPr>
        <w:t>Anses</w:t>
      </w:r>
      <w:r w:rsidR="00765DA0">
        <w:rPr>
          <w:lang w:eastAsia="en-US" w:bidi="en-US"/>
        </w:rPr>
        <w:t xml:space="preserve"> </w:t>
      </w:r>
      <w:proofErr w:type="spellStart"/>
      <w:r w:rsidR="00765DA0">
        <w:rPr>
          <w:lang w:eastAsia="en-US" w:bidi="en-US"/>
        </w:rPr>
        <w:t>LSAl</w:t>
      </w:r>
      <w:proofErr w:type="spellEnd"/>
      <w:r w:rsidR="00765DA0">
        <w:rPr>
          <w:lang w:eastAsia="en-US" w:bidi="en-US"/>
        </w:rPr>
        <w:t xml:space="preserve"> site</w:t>
      </w:r>
      <w:r w:rsidR="006B22C9">
        <w:rPr>
          <w:lang w:eastAsia="en-US" w:bidi="en-US"/>
        </w:rPr>
        <w:t xml:space="preserve"> de Boulogne sur Mer</w:t>
      </w:r>
      <w:r w:rsidRPr="008920F3">
        <w:rPr>
          <w:lang w:eastAsia="en-US" w:bidi="en-US"/>
        </w:rPr>
        <w:t>, 43 souches proviennent de produit</w:t>
      </w:r>
      <w:r w:rsidR="00765DA0">
        <w:rPr>
          <w:lang w:eastAsia="en-US" w:bidi="en-US"/>
        </w:rPr>
        <w:t>s</w:t>
      </w:r>
      <w:r w:rsidRPr="008920F3">
        <w:rPr>
          <w:lang w:eastAsia="en-US" w:bidi="en-US"/>
        </w:rPr>
        <w:t xml:space="preserve"> alimentaires variés et ont été typées par PFGE </w:t>
      </w:r>
      <w:r w:rsidR="00765DA0">
        <w:rPr>
          <w:lang w:eastAsia="en-US" w:bidi="en-US"/>
        </w:rPr>
        <w:t xml:space="preserve">à l’Anses </w:t>
      </w:r>
      <w:proofErr w:type="spellStart"/>
      <w:r w:rsidR="00765DA0">
        <w:rPr>
          <w:lang w:eastAsia="en-US" w:bidi="en-US"/>
        </w:rPr>
        <w:t>LSAl</w:t>
      </w:r>
      <w:proofErr w:type="spellEnd"/>
      <w:r w:rsidR="00765DA0">
        <w:rPr>
          <w:lang w:eastAsia="en-US" w:bidi="en-US"/>
        </w:rPr>
        <w:t xml:space="preserve"> site </w:t>
      </w:r>
      <w:r w:rsidRPr="008920F3">
        <w:rPr>
          <w:lang w:eastAsia="en-US" w:bidi="en-US"/>
        </w:rPr>
        <w:t>de Maisons-Alfort</w:t>
      </w:r>
      <w:r w:rsidR="00A57196">
        <w:rPr>
          <w:lang w:eastAsia="en-US" w:bidi="en-US"/>
        </w:rPr>
        <w:t xml:space="preserve"> </w:t>
      </w:r>
      <w:r w:rsidR="00765DA0">
        <w:rPr>
          <w:lang w:eastAsia="en-US" w:bidi="en-US"/>
        </w:rPr>
        <w:t>(</w:t>
      </w:r>
      <w:r w:rsidR="00A33335">
        <w:rPr>
          <w:lang w:eastAsia="en-US" w:bidi="en-US"/>
        </w:rPr>
        <w:fldChar w:fldCharType="begin"/>
      </w:r>
      <w:r w:rsidR="00A33335">
        <w:rPr>
          <w:lang w:eastAsia="en-US" w:bidi="en-US"/>
        </w:rPr>
        <w:instrText xml:space="preserve"> ADDIN EN.CITE &lt;EndNote&gt;&lt;Cite AuthorYear="1"&gt;&lt;Author&gt;Félix&lt;/Author&gt;&lt;Year&gt;2018&lt;/Year&gt;&lt;RecNum&gt;1260&lt;/RecNum&gt;&lt;DisplayText&gt;Félix&lt;style face="italic"&gt; et al.&lt;/style&gt; (2018)&lt;/DisplayText&gt;&lt;record&gt;&lt;rec-number&gt;1260&lt;/rec-number&gt;&lt;foreign-keys&gt;&lt;key app="EN" db-id="xrawss2d999aevez25svdvwj909sxsvw00x2" timestamp="1619187176"&gt;1260&lt;/key&gt;&lt;/foreign-keys&gt;&lt;ref-type name="Journal Article"&gt;17&lt;/ref-type&gt;&lt;contributors&gt;&lt;authors&gt;&lt;author&gt;Félix, Benjamin&lt;/author&gt;&lt;author&gt;Feurer, Carole&lt;/author&gt;&lt;author&gt;Maillet, Aurelien&lt;/author&gt;&lt;author&gt;Guillier, Laurent&lt;/author&gt;&lt;author&gt;Boscher, Evelyne&lt;/author&gt;&lt;author&gt;Kerouanton, Annaëlle&lt;/author&gt;&lt;author&gt;Denis, Martine&lt;/author&gt;&lt;author&gt;Roussel, Sophie&lt;/author&gt;&lt;/authors&gt;&lt;/contributors&gt;&lt;titles&gt;&lt;title&gt;Population genetic structure of Listeria monocytogenes strains isolated from the pig and pork production chain in France&lt;/title&gt;&lt;secondary-title&gt;Frontiers in microbiology&lt;/secondary-title&gt;&lt;/titles&gt;&lt;periodical&gt;&lt;full-title&gt;Front Microbiol&lt;/full-title&gt;&lt;abbr-1&gt;Frontiers in microbiology&lt;/abbr-1&gt;&lt;/periodical&gt;&lt;pages&gt;684&lt;/pages&gt;&lt;volume&gt;9&lt;/volume&gt;&lt;dates&gt;&lt;year&gt;2018&lt;/year&gt;&lt;/dates&gt;&lt;isbn&gt;1664-302X&lt;/isbn&gt;&lt;urls&gt;&lt;/urls&gt;&lt;/record&gt;&lt;/Cite&gt;&lt;/EndNote&gt;</w:instrText>
      </w:r>
      <w:r w:rsidR="00A33335">
        <w:rPr>
          <w:lang w:eastAsia="en-US" w:bidi="en-US"/>
        </w:rPr>
        <w:fldChar w:fldCharType="separate"/>
      </w:r>
      <w:r w:rsidR="00A33335">
        <w:rPr>
          <w:noProof/>
          <w:lang w:eastAsia="en-US" w:bidi="en-US"/>
        </w:rPr>
        <w:t>Félix</w:t>
      </w:r>
      <w:r w:rsidR="00A33335" w:rsidRPr="00A33335">
        <w:rPr>
          <w:i/>
          <w:noProof/>
          <w:lang w:eastAsia="en-US" w:bidi="en-US"/>
        </w:rPr>
        <w:t xml:space="preserve"> et al.</w:t>
      </w:r>
      <w:r w:rsidR="00765DA0">
        <w:rPr>
          <w:i/>
          <w:noProof/>
          <w:lang w:eastAsia="en-US" w:bidi="en-US"/>
        </w:rPr>
        <w:t>,</w:t>
      </w:r>
      <w:r w:rsidR="00A33335">
        <w:rPr>
          <w:noProof/>
          <w:lang w:eastAsia="en-US" w:bidi="en-US"/>
        </w:rPr>
        <w:t xml:space="preserve"> 2018)</w:t>
      </w:r>
      <w:r w:rsidR="00A33335">
        <w:rPr>
          <w:lang w:eastAsia="en-US" w:bidi="en-US"/>
        </w:rPr>
        <w:fldChar w:fldCharType="end"/>
      </w:r>
      <w:r w:rsidRPr="008920F3">
        <w:rPr>
          <w:lang w:eastAsia="en-US" w:bidi="en-US"/>
        </w:rPr>
        <w:t>.</w:t>
      </w:r>
      <w:r w:rsidR="00A57196">
        <w:rPr>
          <w:lang w:eastAsia="en-US" w:bidi="en-US"/>
        </w:rPr>
        <w:t xml:space="preserve"> Les ADN de ces souches ont été extrait</w:t>
      </w:r>
      <w:r w:rsidR="00765DA0">
        <w:rPr>
          <w:lang w:eastAsia="en-US" w:bidi="en-US"/>
        </w:rPr>
        <w:t>s</w:t>
      </w:r>
      <w:r w:rsidR="00A57196">
        <w:rPr>
          <w:lang w:eastAsia="en-US" w:bidi="en-US"/>
        </w:rPr>
        <w:t xml:space="preserve"> </w:t>
      </w:r>
      <w:r w:rsidR="00765DA0">
        <w:rPr>
          <w:lang w:eastAsia="en-US" w:bidi="en-US"/>
        </w:rPr>
        <w:t>dans</w:t>
      </w:r>
      <w:r w:rsidR="00A57196">
        <w:rPr>
          <w:lang w:eastAsia="en-US" w:bidi="en-US"/>
        </w:rPr>
        <w:t xml:space="preserve"> leurs laboratoires respectifs.</w:t>
      </w:r>
    </w:p>
    <w:p w14:paraId="33DDF11F" w14:textId="0695CB06" w:rsidR="000E504C" w:rsidRDefault="000E504C" w:rsidP="00FA4D29">
      <w:pPr>
        <w:pStyle w:val="Titre5"/>
      </w:pPr>
      <w:bookmarkStart w:id="55" w:name="_Toc484700770"/>
      <w:bookmarkStart w:id="56" w:name="_Toc485309244"/>
      <w:bookmarkStart w:id="57" w:name="_Toc485887145"/>
      <w:r>
        <w:t>P</w:t>
      </w:r>
      <w:r w:rsidRPr="008920F3">
        <w:t xml:space="preserve">anel de </w:t>
      </w:r>
      <w:r>
        <w:t>72 souches de terrain non-typées</w:t>
      </w:r>
    </w:p>
    <w:p w14:paraId="5D842647" w14:textId="4DC257B1" w:rsidR="000E504C" w:rsidRDefault="000E504C" w:rsidP="000E504C">
      <w:r>
        <w:t>Ce pan</w:t>
      </w:r>
      <w:r w:rsidR="003F39B5">
        <w:t xml:space="preserve">el regroupe 72 souches </w:t>
      </w:r>
      <w:r w:rsidR="00765DA0">
        <w:t>isolées</w:t>
      </w:r>
      <w:r>
        <w:t xml:space="preserve"> de prélèvements d’atelier de la filière viande, et leurs ADN ont été extraits par l’IFIP</w:t>
      </w:r>
      <w:r w:rsidR="00765DA0">
        <w:t xml:space="preserve"> (Annexe 2)</w:t>
      </w:r>
      <w:r>
        <w:t>.</w:t>
      </w:r>
    </w:p>
    <w:p w14:paraId="63399303" w14:textId="2B7C908A" w:rsidR="000E504C" w:rsidRDefault="000E504C" w:rsidP="00FA4D29">
      <w:pPr>
        <w:pStyle w:val="Titre5"/>
      </w:pPr>
      <w:r>
        <w:t>P</w:t>
      </w:r>
      <w:r w:rsidRPr="008920F3">
        <w:t>anel d</w:t>
      </w:r>
      <w:r>
        <w:t>’</w:t>
      </w:r>
      <w:proofErr w:type="spellStart"/>
      <w:r>
        <w:t>inclusivité</w:t>
      </w:r>
      <w:proofErr w:type="spellEnd"/>
      <w:r>
        <w:t xml:space="preserve"> de 306 souches</w:t>
      </w:r>
    </w:p>
    <w:p w14:paraId="29DD2F07" w14:textId="28C09C9B" w:rsidR="000E504C" w:rsidRDefault="000E504C" w:rsidP="000E504C">
      <w:r>
        <w:t>Le panel d’</w:t>
      </w:r>
      <w:proofErr w:type="spellStart"/>
      <w:r>
        <w:t>inclusivité</w:t>
      </w:r>
      <w:proofErr w:type="spellEnd"/>
      <w:r>
        <w:t xml:space="preserve"> regroupe un large panel de 306 souches et intègre entre 4 et 1</w:t>
      </w:r>
      <w:r w:rsidR="00FE278A">
        <w:t xml:space="preserve">8 souches </w:t>
      </w:r>
      <w:r w:rsidR="00765DA0">
        <w:t>de chaque</w:t>
      </w:r>
      <w:r w:rsidR="00FE278A">
        <w:t xml:space="preserve"> CC cible (Annexe 3</w:t>
      </w:r>
      <w:r>
        <w:t xml:space="preserve">). Ce panel constitue une collection la plus représentative possible du polymorphisme génétique de </w:t>
      </w:r>
      <w:r w:rsidRPr="00996D8A">
        <w:rPr>
          <w:i/>
        </w:rPr>
        <w:t xml:space="preserve">L. </w:t>
      </w:r>
      <w:proofErr w:type="spellStart"/>
      <w:r w:rsidRPr="00996D8A">
        <w:rPr>
          <w:i/>
        </w:rPr>
        <w:t>monocytogenes</w:t>
      </w:r>
      <w:proofErr w:type="spellEnd"/>
      <w:r>
        <w:t xml:space="preserve"> au sein de ces différents </w:t>
      </w:r>
      <w:proofErr w:type="spellStart"/>
      <w:r>
        <w:t>CCs</w:t>
      </w:r>
      <w:proofErr w:type="spellEnd"/>
      <w:r>
        <w:t xml:space="preserve"> et </w:t>
      </w:r>
      <w:proofErr w:type="spellStart"/>
      <w:r>
        <w:t>STs</w:t>
      </w:r>
      <w:proofErr w:type="spellEnd"/>
      <w:r>
        <w:t xml:space="preserve"> cibles. Au total, 52 </w:t>
      </w:r>
      <w:proofErr w:type="spellStart"/>
      <w:r>
        <w:t>STs</w:t>
      </w:r>
      <w:proofErr w:type="spellEnd"/>
      <w:r>
        <w:t xml:space="preserve"> appartiennent aux </w:t>
      </w:r>
      <w:proofErr w:type="spellStart"/>
      <w:r>
        <w:t>CCs</w:t>
      </w:r>
      <w:proofErr w:type="spellEnd"/>
      <w:r>
        <w:t xml:space="preserve"> et </w:t>
      </w:r>
      <w:proofErr w:type="spellStart"/>
      <w:r>
        <w:t>STs</w:t>
      </w:r>
      <w:proofErr w:type="spellEnd"/>
      <w:r>
        <w:t xml:space="preserve"> cib</w:t>
      </w:r>
      <w:r w:rsidR="00FE278A">
        <w:t>lés par cette méthode</w:t>
      </w:r>
      <w:r>
        <w:t>.</w:t>
      </w:r>
    </w:p>
    <w:p w14:paraId="2561E707" w14:textId="45FEB43F" w:rsidR="000E504C" w:rsidRDefault="000E504C" w:rsidP="000E504C">
      <w:r>
        <w:t>Les souches sélectionnées ont été isolées d’origines géographiques diversifiées (17 pays européens</w:t>
      </w:r>
      <w:r w:rsidR="00FE278A">
        <w:t xml:space="preserve"> et 1 pays hors Europe</w:t>
      </w:r>
      <w:r w:rsidR="00765DA0">
        <w:t>)</w:t>
      </w:r>
      <w:r w:rsidR="00FE278A">
        <w:t xml:space="preserve"> </w:t>
      </w:r>
      <w:r w:rsidR="00A33335">
        <w:t>(A</w:t>
      </w:r>
      <w:r w:rsidR="00FE278A">
        <w:t>nnexe 3</w:t>
      </w:r>
      <w:r>
        <w:t>). Ce panel couvre un maximum de diversité dans les origines des souches, isolées d’animaux et d’aliments.</w:t>
      </w:r>
    </w:p>
    <w:p w14:paraId="37E8B5F6" w14:textId="5B549818" w:rsidR="000E504C" w:rsidRDefault="000E504C" w:rsidP="000E504C">
      <w:r>
        <w:t>Toutes les souches du panel d'</w:t>
      </w:r>
      <w:proofErr w:type="spellStart"/>
      <w:r>
        <w:t>inclusivité</w:t>
      </w:r>
      <w:proofErr w:type="spellEnd"/>
      <w:r>
        <w:t xml:space="preserve"> ont été typées par Multi locus </w:t>
      </w:r>
      <w:proofErr w:type="spellStart"/>
      <w:r>
        <w:t>sequence</w:t>
      </w:r>
      <w:proofErr w:type="spellEnd"/>
      <w:r>
        <w:t xml:space="preserve"> </w:t>
      </w:r>
      <w:proofErr w:type="spellStart"/>
      <w:r>
        <w:t>typing</w:t>
      </w:r>
      <w:proofErr w:type="spellEnd"/>
      <w:r>
        <w:t xml:space="preserve"> (MLST).</w:t>
      </w:r>
    </w:p>
    <w:p w14:paraId="6D124492" w14:textId="7E844DEC" w:rsidR="000E504C" w:rsidRDefault="000E504C" w:rsidP="00FA4D29">
      <w:pPr>
        <w:pStyle w:val="Titre5"/>
      </w:pPr>
      <w:r>
        <w:lastRenderedPageBreak/>
        <w:t>P</w:t>
      </w:r>
      <w:r w:rsidRPr="008920F3">
        <w:t>anel d</w:t>
      </w:r>
      <w:r>
        <w:t>’exclusivité de 86 souches</w:t>
      </w:r>
    </w:p>
    <w:p w14:paraId="33618080" w14:textId="3677BA3B" w:rsidR="000E504C" w:rsidRDefault="000E504C" w:rsidP="000E504C">
      <w:r>
        <w:t xml:space="preserve">Le panel d’exclusivité regroupe en premier lieu 25 souches « non-famille » n’appartenant pas à la famille des </w:t>
      </w:r>
      <w:proofErr w:type="spellStart"/>
      <w:r>
        <w:t>Listeriaceae</w:t>
      </w:r>
      <w:proofErr w:type="spellEnd"/>
      <w:r>
        <w:t xml:space="preserve"> : </w:t>
      </w:r>
      <w:r w:rsidRPr="00DB06D3">
        <w:rPr>
          <w:i/>
        </w:rPr>
        <w:t>Salmonella</w:t>
      </w:r>
      <w:r>
        <w:t xml:space="preserve"> (n=5), </w:t>
      </w:r>
      <w:r w:rsidRPr="00DB06D3">
        <w:rPr>
          <w:i/>
        </w:rPr>
        <w:t>Staphylococcus aureus</w:t>
      </w:r>
      <w:r>
        <w:t xml:space="preserve"> (n=5) et </w:t>
      </w:r>
      <w:r w:rsidRPr="00DB06D3">
        <w:rPr>
          <w:i/>
        </w:rPr>
        <w:t>Clostridium perfringens</w:t>
      </w:r>
      <w:r>
        <w:t xml:space="preserve"> (n=5), 10 souches non-pathogènes </w:t>
      </w:r>
      <w:r w:rsidR="00765DA0">
        <w:t>isolées</w:t>
      </w:r>
      <w:r>
        <w:t xml:space="preserve"> dans l’environnement de transformation alimentaire issues de la collection </w:t>
      </w:r>
      <w:r w:rsidR="00765DA0">
        <w:t xml:space="preserve">de l’Anses </w:t>
      </w:r>
      <w:proofErr w:type="spellStart"/>
      <w:r w:rsidR="00765DA0">
        <w:t>LSAl</w:t>
      </w:r>
      <w:proofErr w:type="spellEnd"/>
      <w:r w:rsidR="00765DA0">
        <w:t xml:space="preserve"> site</w:t>
      </w:r>
      <w:r>
        <w:t xml:space="preserve"> de Boulogne sur Mer (Annexe 4). Ces souches pathogènes ou non-pathogènes peuvent être rencontrées dans l’aliment ou l’environnement de production conjointement à </w:t>
      </w:r>
      <w:r w:rsidRPr="003921D1">
        <w:rPr>
          <w:i/>
        </w:rPr>
        <w:t xml:space="preserve">L. </w:t>
      </w:r>
      <w:proofErr w:type="spellStart"/>
      <w:r w:rsidRPr="003921D1">
        <w:rPr>
          <w:i/>
        </w:rPr>
        <w:t>monocytogenes</w:t>
      </w:r>
      <w:proofErr w:type="spellEnd"/>
      <w:r>
        <w:t>.</w:t>
      </w:r>
    </w:p>
    <w:p w14:paraId="0B059741" w14:textId="50455614" w:rsidR="000E504C" w:rsidRDefault="000E504C" w:rsidP="000E504C">
      <w:r>
        <w:t>Il intègre également 26 souches « non-espèces » (</w:t>
      </w:r>
      <w:r w:rsidR="00606553" w:rsidRPr="00606553">
        <w:t xml:space="preserve">Annexe </w:t>
      </w:r>
      <w:r w:rsidR="00606553">
        <w:t>4</w:t>
      </w:r>
      <w:r>
        <w:t xml:space="preserve">). Une bactérie « non espèce » appartient au genre </w:t>
      </w:r>
      <w:r w:rsidRPr="00DB06D3">
        <w:rPr>
          <w:i/>
        </w:rPr>
        <w:t>Listeria</w:t>
      </w:r>
      <w:r>
        <w:t xml:space="preserve"> mais pas à l’espèce </w:t>
      </w:r>
      <w:r w:rsidRPr="00DB06D3">
        <w:rPr>
          <w:i/>
        </w:rPr>
        <w:t xml:space="preserve">L. </w:t>
      </w:r>
      <w:proofErr w:type="spellStart"/>
      <w:r w:rsidRPr="00DB06D3">
        <w:rPr>
          <w:i/>
        </w:rPr>
        <w:t>monocytogenes</w:t>
      </w:r>
      <w:proofErr w:type="spellEnd"/>
      <w:r>
        <w:t xml:space="preserve">. Treize de ces souches appartiennent à des espèces de </w:t>
      </w:r>
      <w:r w:rsidRPr="003635AE">
        <w:rPr>
          <w:i/>
        </w:rPr>
        <w:t>Listeria</w:t>
      </w:r>
      <w:r>
        <w:t xml:space="preserve"> décrites récemment</w:t>
      </w:r>
      <w:r w:rsidR="00A33335">
        <w:t xml:space="preserve"> </w:t>
      </w:r>
      <w:r w:rsidR="00A33335">
        <w:fldChar w:fldCharType="begin">
          <w:fldData xml:space="preserve">PEVuZE5vdGU+PENpdGU+PEF1dGhvcj5XZWxsZXI8L0F1dGhvcj48WWVhcj4yMDE1PC9ZZWFyPjxS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</w:fldData>
        </w:fldChar>
      </w:r>
      <w:r w:rsidR="00A33335">
        <w:instrText xml:space="preserve"> ADDIN EN.CITE </w:instrText>
      </w:r>
      <w:r w:rsidR="00A33335">
        <w:fldChar w:fldCharType="begin">
          <w:fldData xml:space="preserve">PEVuZE5vdGU+PENpdGU+PEF1dGhvcj5XZWxsZXI8L0F1dGhvcj48WWVhcj4yMDE1PC9ZZWFyPjxS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</w:fldData>
        </w:fldChar>
      </w:r>
      <w:r w:rsidR="00A33335">
        <w:instrText xml:space="preserve"> ADDIN EN.CITE.DATA </w:instrText>
      </w:r>
      <w:r w:rsidR="00A33335">
        <w:fldChar w:fldCharType="end"/>
      </w:r>
      <w:r w:rsidR="00A33335">
        <w:fldChar w:fldCharType="separate"/>
      </w:r>
      <w:r w:rsidR="00A33335">
        <w:rPr>
          <w:noProof/>
        </w:rPr>
        <w:t>(Leclercq</w:t>
      </w:r>
      <w:r w:rsidR="00A33335" w:rsidRPr="00A33335">
        <w:rPr>
          <w:i/>
          <w:noProof/>
        </w:rPr>
        <w:t xml:space="preserve"> et al.</w:t>
      </w:r>
      <w:r w:rsidR="00A33335">
        <w:rPr>
          <w:noProof/>
        </w:rPr>
        <w:t>, 2010, Bertsch</w:t>
      </w:r>
      <w:r w:rsidR="00A33335" w:rsidRPr="00A33335">
        <w:rPr>
          <w:i/>
          <w:noProof/>
        </w:rPr>
        <w:t xml:space="preserve"> et al.</w:t>
      </w:r>
      <w:r w:rsidR="00A33335">
        <w:rPr>
          <w:noProof/>
        </w:rPr>
        <w:t>, 2013, Halter</w:t>
      </w:r>
      <w:r w:rsidR="00A33335" w:rsidRPr="00A33335">
        <w:rPr>
          <w:i/>
          <w:noProof/>
        </w:rPr>
        <w:t xml:space="preserve"> et al.</w:t>
      </w:r>
      <w:r w:rsidR="00A33335">
        <w:rPr>
          <w:noProof/>
        </w:rPr>
        <w:t>, 2013, den Bakker</w:t>
      </w:r>
      <w:r w:rsidR="00A33335" w:rsidRPr="00A33335">
        <w:rPr>
          <w:i/>
          <w:noProof/>
        </w:rPr>
        <w:t xml:space="preserve"> et al.</w:t>
      </w:r>
      <w:r w:rsidR="00A33335">
        <w:rPr>
          <w:noProof/>
        </w:rPr>
        <w:t>, 2014, Weller</w:t>
      </w:r>
      <w:r w:rsidR="00A33335" w:rsidRPr="00A33335">
        <w:rPr>
          <w:i/>
          <w:noProof/>
        </w:rPr>
        <w:t xml:space="preserve"> et al.</w:t>
      </w:r>
      <w:r w:rsidR="00A33335">
        <w:rPr>
          <w:noProof/>
        </w:rPr>
        <w:t>, 2015)</w:t>
      </w:r>
      <w:r w:rsidR="00A33335">
        <w:fldChar w:fldCharType="end"/>
      </w:r>
      <w:r>
        <w:t xml:space="preserve">, les 13 autres ont été </w:t>
      </w:r>
      <w:r w:rsidR="00765DA0">
        <w:t>sélectionnées dans</w:t>
      </w:r>
      <w:r>
        <w:t xml:space="preserve"> la collection de l’</w:t>
      </w:r>
      <w:r w:rsidR="00765DA0">
        <w:t xml:space="preserve">Anses </w:t>
      </w:r>
      <w:proofErr w:type="spellStart"/>
      <w:r w:rsidR="00765DA0">
        <w:t>LSAl</w:t>
      </w:r>
      <w:proofErr w:type="spellEnd"/>
      <w:r w:rsidR="00765DA0">
        <w:t xml:space="preserve"> site de Maisons-Alfort</w:t>
      </w:r>
      <w:r>
        <w:t>.</w:t>
      </w:r>
      <w:r w:rsidR="003D0F99">
        <w:t xml:space="preserve"> </w:t>
      </w:r>
      <w:r>
        <w:t xml:space="preserve">Il intègre enfin 35 souches de </w:t>
      </w:r>
      <w:r w:rsidRPr="00DB06D3">
        <w:rPr>
          <w:i/>
        </w:rPr>
        <w:t xml:space="preserve">L. </w:t>
      </w:r>
      <w:proofErr w:type="spellStart"/>
      <w:r w:rsidRPr="00DB06D3">
        <w:rPr>
          <w:i/>
        </w:rPr>
        <w:t>monocytogenes</w:t>
      </w:r>
      <w:proofErr w:type="spellEnd"/>
      <w:r>
        <w:t xml:space="preserve"> « non-cibles » ap</w:t>
      </w:r>
      <w:r w:rsidR="003D0F99">
        <w:t xml:space="preserve">partenant aux </w:t>
      </w:r>
      <w:proofErr w:type="spellStart"/>
      <w:r w:rsidR="003D0F99">
        <w:t>CCs</w:t>
      </w:r>
      <w:proofErr w:type="spellEnd"/>
      <w:r w:rsidR="003D0F99">
        <w:t xml:space="preserve"> </w:t>
      </w:r>
      <w:r>
        <w:t xml:space="preserve">ou </w:t>
      </w:r>
      <w:proofErr w:type="spellStart"/>
      <w:r>
        <w:t>ST</w:t>
      </w:r>
      <w:r w:rsidR="003D0F99">
        <w:t>s</w:t>
      </w:r>
      <w:proofErr w:type="spellEnd"/>
      <w:r>
        <w:t xml:space="preserve"> non ciblés. Ces souches de terrain ont été isolées d'aliments ou d'environnement.</w:t>
      </w:r>
    </w:p>
    <w:p w14:paraId="70884C03" w14:textId="77777777" w:rsidR="000E504C" w:rsidRDefault="000E504C" w:rsidP="000E504C">
      <w:r>
        <w:t xml:space="preserve">Toutes les souches du panel d'exclusivité ont été typées par Multi locus </w:t>
      </w:r>
      <w:proofErr w:type="spellStart"/>
      <w:r>
        <w:t>sequence</w:t>
      </w:r>
      <w:proofErr w:type="spellEnd"/>
      <w:r>
        <w:t xml:space="preserve"> </w:t>
      </w:r>
      <w:proofErr w:type="spellStart"/>
      <w:r>
        <w:t>typing</w:t>
      </w:r>
      <w:proofErr w:type="spellEnd"/>
      <w:r>
        <w:t xml:space="preserve"> (MLST).</w:t>
      </w:r>
    </w:p>
    <w:p w14:paraId="1BE2E900" w14:textId="1ABB1C22" w:rsidR="000E504C" w:rsidRDefault="000E504C" w:rsidP="00FA4D29">
      <w:pPr>
        <w:pStyle w:val="Titre4"/>
      </w:pPr>
      <w:r>
        <w:t>Déduction du CC des souches via leur profil PFGE</w:t>
      </w:r>
    </w:p>
    <w:p w14:paraId="7263C392" w14:textId="7312AFFD" w:rsidR="000E504C" w:rsidRDefault="000E504C" w:rsidP="000E504C">
      <w:pPr>
        <w:rPr>
          <w:iCs/>
        </w:rPr>
      </w:pPr>
      <w:r w:rsidRPr="00997C59">
        <w:rPr>
          <w:iCs/>
        </w:rPr>
        <w:t>Les analyses de PFGE et l’interprétation d</w:t>
      </w:r>
      <w:r>
        <w:rPr>
          <w:iCs/>
        </w:rPr>
        <w:t>es profils PFGE ont été réalisée</w:t>
      </w:r>
      <w:r w:rsidRPr="00997C59">
        <w:rPr>
          <w:iCs/>
        </w:rPr>
        <w:t>s suivant</w:t>
      </w:r>
      <w:r>
        <w:rPr>
          <w:iCs/>
        </w:rPr>
        <w:t xml:space="preserve"> le méthode de</w:t>
      </w:r>
      <w:r w:rsidRPr="00997C59">
        <w:rPr>
          <w:iCs/>
        </w:rPr>
        <w:t xml:space="preserve"> </w:t>
      </w:r>
      <w:r w:rsidRPr="00997C59">
        <w:rPr>
          <w:iCs/>
        </w:rPr>
        <w:fldChar w:fldCharType="begin"/>
      </w:r>
      <w:r>
        <w:rPr>
          <w:iCs/>
        </w:rPr>
        <w:instrText xml:space="preserve"> ADDIN EN.CITE &lt;EndNote&gt;&lt;Cite AuthorYear="1"&gt;&lt;Author&gt;Roussel&lt;/Author&gt;&lt;Year&gt;2014&lt;/Year&gt;&lt;RecNum&gt;4419&lt;/RecNum&gt;&lt;DisplayText&gt;Roussel&lt;style face="italic"&gt; et al.&lt;/style&gt; (2014)&lt;/DisplayText&gt;&lt;record&gt;&lt;rec-number&gt;4419&lt;/rec-number&gt;&lt;foreign-keys&gt;&lt;key app="EN" db-id="s009add29af0pdets06pz5vtarapr90svrde" timestamp="1454589304"&gt;4419&lt;/key&gt;&lt;/foreign-keys&gt;&lt;ref-type name="Journal Article"&gt;17&lt;/ref-type&gt;&lt;contributors&gt;&lt;authors&gt;&lt;author&gt;Roussel, S.&lt;/author&gt;&lt;author&gt;Michelon, D. &lt;/author&gt;&lt;author&gt;Lombard, B.&lt;/author&gt;&lt;author&gt;Lailler, R.&lt;/author&gt;&lt;/authors&gt;&lt;/contributors&gt;&lt;titles&gt;&lt;title&gt;EXTERNAL SCIENTIFIC REPORT: Molecular typing of Listeria monocytogenes strains isolated from food, feed and animals: state of play and standard operating procedures for pulsed field gel electrophoresis (PFGE) typing, profile interpretation and curation&lt;/title&gt;&lt;secondary-title&gt;EFSA Supporting publication&lt;/secondary-title&gt;&lt;/titles&gt;&lt;periodical&gt;&lt;full-title&gt;EFSA Supporting publication&lt;/full-title&gt;&lt;/periodical&gt;&lt;pages&gt;88pp&lt;/pages&gt;&lt;volume&gt;EN-702&lt;/volume&gt;&lt;dates&gt;&lt;year&gt;2014&lt;/year&gt;&lt;/dates&gt;&lt;urls&gt;&lt;related-urls&gt;&lt;url&gt;http://www.efsa.europa.eu/sites/default/files/scientific_output/files/main_documents/702e.pdf&lt;/url&gt;&lt;/related-urls&gt;&lt;/urls&gt;&lt;/record&gt;&lt;/Cite&gt;&lt;/EndNote&gt;</w:instrText>
      </w:r>
      <w:r w:rsidRPr="00997C59">
        <w:rPr>
          <w:iCs/>
        </w:rPr>
        <w:fldChar w:fldCharType="separate"/>
      </w:r>
      <w:r>
        <w:rPr>
          <w:iCs/>
          <w:noProof/>
        </w:rPr>
        <w:t>Roussel</w:t>
      </w:r>
      <w:r w:rsidRPr="000E504C">
        <w:rPr>
          <w:i/>
          <w:iCs/>
          <w:noProof/>
        </w:rPr>
        <w:t xml:space="preserve"> et al.</w:t>
      </w:r>
      <w:r>
        <w:rPr>
          <w:iCs/>
          <w:noProof/>
        </w:rPr>
        <w:t xml:space="preserve"> (2014)</w:t>
      </w:r>
      <w:r w:rsidRPr="00997C59">
        <w:rPr>
          <w:iCs/>
        </w:rPr>
        <w:fldChar w:fldCharType="end"/>
      </w:r>
      <w:r w:rsidRPr="00997C59">
        <w:rPr>
          <w:iCs/>
        </w:rPr>
        <w:t>. Les profils PFGE ont été analysés ensemble</w:t>
      </w:r>
      <w:r>
        <w:rPr>
          <w:iCs/>
        </w:rPr>
        <w:t>s</w:t>
      </w:r>
      <w:r w:rsidRPr="00997C59">
        <w:rPr>
          <w:iCs/>
        </w:rPr>
        <w:t xml:space="preserve"> et regroupés par familles de profils, dénommées clusters. Un cluster se compose de profils PFGE similaires entre eux à 85% (moyenne des profils combinés </w:t>
      </w:r>
      <w:proofErr w:type="spellStart"/>
      <w:r w:rsidRPr="00997C59">
        <w:rPr>
          <w:i/>
          <w:iCs/>
        </w:rPr>
        <w:t>Asc</w:t>
      </w:r>
      <w:r w:rsidRPr="00997C59">
        <w:rPr>
          <w:iCs/>
        </w:rPr>
        <w:t>I-</w:t>
      </w:r>
      <w:r w:rsidRPr="00997C59">
        <w:rPr>
          <w:i/>
          <w:iCs/>
        </w:rPr>
        <w:t>Apa</w:t>
      </w:r>
      <w:r w:rsidRPr="00997C59">
        <w:rPr>
          <w:iCs/>
        </w:rPr>
        <w:t>I</w:t>
      </w:r>
      <w:proofErr w:type="spellEnd"/>
      <w:r w:rsidRPr="00997C59">
        <w:rPr>
          <w:iCs/>
        </w:rPr>
        <w:t xml:space="preserve">, la similarité entre deux profils a été calculée en utilisant le coefficient de </w:t>
      </w:r>
      <w:proofErr w:type="spellStart"/>
      <w:r w:rsidRPr="00997C59">
        <w:rPr>
          <w:iCs/>
        </w:rPr>
        <w:t>Dice</w:t>
      </w:r>
      <w:proofErr w:type="spellEnd"/>
      <w:r w:rsidRPr="00997C59">
        <w:rPr>
          <w:iCs/>
        </w:rPr>
        <w:t>, tolérance et optimisation fixées à 1%). Les dendrogrammes ont été construits selon la méthode UPGMA « </w:t>
      </w:r>
      <w:proofErr w:type="spellStart"/>
      <w:r w:rsidRPr="00997C59">
        <w:rPr>
          <w:iCs/>
        </w:rPr>
        <w:t>Unweighted</w:t>
      </w:r>
      <w:proofErr w:type="spellEnd"/>
      <w:r w:rsidRPr="00997C59">
        <w:rPr>
          <w:iCs/>
        </w:rPr>
        <w:t xml:space="preserve"> Pair Group Me</w:t>
      </w:r>
      <w:r>
        <w:rPr>
          <w:iCs/>
        </w:rPr>
        <w:t xml:space="preserve">thod </w:t>
      </w:r>
      <w:proofErr w:type="spellStart"/>
      <w:r>
        <w:rPr>
          <w:iCs/>
        </w:rPr>
        <w:t>with</w:t>
      </w:r>
      <w:proofErr w:type="spellEnd"/>
      <w:r>
        <w:rPr>
          <w:iCs/>
        </w:rPr>
        <w:t xml:space="preserve"> </w:t>
      </w:r>
      <w:proofErr w:type="spellStart"/>
      <w:r>
        <w:rPr>
          <w:iCs/>
        </w:rPr>
        <w:t>arithmetic</w:t>
      </w:r>
      <w:proofErr w:type="spellEnd"/>
      <w:r>
        <w:rPr>
          <w:iCs/>
        </w:rPr>
        <w:t xml:space="preserve"> </w:t>
      </w:r>
      <w:proofErr w:type="spellStart"/>
      <w:r>
        <w:rPr>
          <w:iCs/>
        </w:rPr>
        <w:t>Average</w:t>
      </w:r>
      <w:proofErr w:type="spellEnd"/>
      <w:r>
        <w:rPr>
          <w:iCs/>
        </w:rPr>
        <w:t> ».</w:t>
      </w:r>
    </w:p>
    <w:p w14:paraId="7852A68E" w14:textId="2D79820A" w:rsidR="000E504C" w:rsidRPr="00997C59" w:rsidRDefault="000E504C" w:rsidP="000E504C">
      <w:pPr>
        <w:rPr>
          <w:iCs/>
        </w:rPr>
      </w:pPr>
      <w:r w:rsidRPr="00997C59">
        <w:rPr>
          <w:iCs/>
        </w:rPr>
        <w:t xml:space="preserve">Une base de données partagées </w:t>
      </w:r>
      <w:r w:rsidRPr="00997C59">
        <w:rPr>
          <w:iCs/>
        </w:rPr>
        <w:fldChar w:fldCharType="begin"/>
      </w:r>
      <w:r>
        <w:rPr>
          <w:iCs/>
        </w:rPr>
        <w:instrText xml:space="preserve"> ADDIN EN.CITE &lt;EndNote&gt;&lt;Cite&gt;&lt;Author&gt;Felix&lt;/Author&gt;&lt;Year&gt;2017&lt;/Year&gt;&lt;RecNum&gt;5007&lt;/RecNum&gt;&lt;DisplayText&gt;(Felix&lt;style face="italic"&gt; et al.&lt;/style&gt;, 2016, Felix&lt;style face="italic"&gt; et al.&lt;/style&gt;, 2017)&lt;/DisplayText&gt;&lt;record&gt;&lt;rec-number&gt;5007&lt;/rec-number&gt;&lt;foreign-keys&gt;&lt;key app="EN" db-id="s009add29af0pdets06pz5vtarapr90svrde" timestamp="1496425873"&gt;5007&lt;/key&gt;&lt;/foreign-keys&gt;&lt;ref-type name="Journal Article"&gt;17&lt;/ref-type&gt;&lt;contributors&gt;&lt;authors&gt;&lt;author&gt;Felix, B&lt;/author&gt;&lt;author&gt;Michelon, D.&lt;/author&gt;&lt;author&gt;Lombard, B.&lt;/author&gt;&lt;author&gt;Albert, D.&lt;/author&gt;&lt;author&gt;Barre, L.&lt;/author&gt;&lt;author&gt;Feurer, C.&lt;/author&gt;&lt;author&gt;Roussel, S.&lt;/author&gt;&lt;/authors&gt;&lt;/contributors&gt;&lt;titles&gt;&lt;title&gt;A shared molecular database for the surveillance of Listeria monocytogenes in the food chain in France&lt;/title&gt;&lt;secondary-title&gt;Bulletin Epidémiologique&lt;/secondary-title&gt;&lt;/titles&gt;&lt;periodical&gt;&lt;full-title&gt;Bulletin Epidemiologique&lt;/full-title&gt;&lt;/periodical&gt;&lt;pages&gt;82 - 87&lt;/pages&gt;&lt;number&gt;77&lt;/number&gt;&lt;dates&gt;&lt;year&gt;2017&lt;/year&gt;&lt;/dates&gt;&lt;urls&gt;&lt;/urls&gt;&lt;/record&gt;&lt;/Cite&gt;&lt;Cite&gt;&lt;Author&gt;Felix&lt;/Author&gt;&lt;Year&gt;2016&lt;/Year&gt;&lt;RecNum&gt;4860&lt;/RecNum&gt;&lt;record&gt;&lt;rec-number&gt;4860&lt;/rec-number&gt;&lt;foreign-keys&gt;&lt;key app="EN" db-id="s009add29af0pdets06pz5vtarapr90svrde" timestamp="1471355296"&gt;4860&lt;/key&gt;&lt;/foreign-keys&gt;&lt;ref-type name="Journal Article"&gt;17&lt;/ref-type&gt;&lt;contributors&gt;&lt;authors&gt;&lt;author&gt;Felix, B.&lt;/author&gt;&lt;author&gt;Michelon, D.&lt;/author&gt;&lt;author&gt;Prenom, C.&lt;/author&gt;&lt;author&gt;Robieu, E.&lt;/author&gt;&lt;author&gt;Roussel, S.&lt;/author&gt;&lt;author&gt;Feurer, C.&lt;/author&gt;&lt;/authors&gt;&lt;/contributors&gt;&lt;titles&gt;&lt;title&gt;Une base de données de typage partagée pour la surveillance de Listeria monocytogenes &lt;/title&gt;&lt;secondary-title&gt;Les Cahiers de l’IFIP&lt;/secondary-title&gt;&lt;/titles&gt;&lt;periodical&gt;&lt;full-title&gt;Les Cahiers de l’IFIP&lt;/full-title&gt;&lt;/periodical&gt;&lt;pages&gt;1-6&lt;/pages&gt;&lt;volume&gt;2&lt;/volume&gt;&lt;dates&gt;&lt;year&gt;2016&lt;/year&gt;&lt;/dates&gt;&lt;urls&gt;&lt;/urls&gt;&lt;/record&gt;&lt;/Cite&gt;&lt;/EndNote&gt;</w:instrText>
      </w:r>
      <w:r w:rsidRPr="00997C59">
        <w:rPr>
          <w:iCs/>
        </w:rPr>
        <w:fldChar w:fldCharType="separate"/>
      </w:r>
      <w:r>
        <w:rPr>
          <w:iCs/>
          <w:noProof/>
        </w:rPr>
        <w:t>(Felix</w:t>
      </w:r>
      <w:r w:rsidRPr="000E504C">
        <w:rPr>
          <w:i/>
          <w:iCs/>
          <w:noProof/>
        </w:rPr>
        <w:t xml:space="preserve"> et al.</w:t>
      </w:r>
      <w:r>
        <w:rPr>
          <w:iCs/>
          <w:noProof/>
        </w:rPr>
        <w:t>, 2016, Felix</w:t>
      </w:r>
      <w:r w:rsidRPr="000E504C">
        <w:rPr>
          <w:i/>
          <w:iCs/>
          <w:noProof/>
        </w:rPr>
        <w:t xml:space="preserve"> et al.</w:t>
      </w:r>
      <w:r>
        <w:rPr>
          <w:iCs/>
          <w:noProof/>
        </w:rPr>
        <w:t>, 2017)</w:t>
      </w:r>
      <w:r w:rsidRPr="00997C59">
        <w:rPr>
          <w:iCs/>
        </w:rPr>
        <w:fldChar w:fldCharType="end"/>
      </w:r>
      <w:r w:rsidRPr="00997C59">
        <w:rPr>
          <w:iCs/>
        </w:rPr>
        <w:t xml:space="preserve"> (</w:t>
      </w:r>
      <w:proofErr w:type="spellStart"/>
      <w:r w:rsidRPr="00997C59">
        <w:rPr>
          <w:iCs/>
        </w:rPr>
        <w:t>BioNumerics</w:t>
      </w:r>
      <w:proofErr w:type="spellEnd"/>
      <w:r w:rsidRPr="00997C59">
        <w:rPr>
          <w:iCs/>
        </w:rPr>
        <w:t xml:space="preserve"> software, V 7.6) a été utilisée pour déduire le CC du profil PFGE des souches. </w:t>
      </w:r>
      <w:r>
        <w:rPr>
          <w:iCs/>
        </w:rPr>
        <w:t xml:space="preserve">Elle </w:t>
      </w:r>
      <w:r w:rsidRPr="00997C59">
        <w:rPr>
          <w:iCs/>
        </w:rPr>
        <w:t xml:space="preserve">intègre 393 souches typées à la fois par MLST et par PFGE. </w:t>
      </w:r>
      <w:r>
        <w:rPr>
          <w:iCs/>
        </w:rPr>
        <w:t>Le</w:t>
      </w:r>
      <w:r w:rsidR="003D0F99">
        <w:rPr>
          <w:iCs/>
        </w:rPr>
        <w:t>s</w:t>
      </w:r>
      <w:r>
        <w:rPr>
          <w:iCs/>
        </w:rPr>
        <w:t xml:space="preserve"> profil</w:t>
      </w:r>
      <w:r w:rsidR="003D0F99">
        <w:rPr>
          <w:iCs/>
        </w:rPr>
        <w:t>s</w:t>
      </w:r>
      <w:r>
        <w:rPr>
          <w:iCs/>
        </w:rPr>
        <w:t xml:space="preserve"> </w:t>
      </w:r>
      <w:r w:rsidRPr="00997C59">
        <w:rPr>
          <w:iCs/>
        </w:rPr>
        <w:t xml:space="preserve">PFGE </w:t>
      </w:r>
      <w:r>
        <w:rPr>
          <w:iCs/>
        </w:rPr>
        <w:t>des 135 souches du panel (section 2.1.4</w:t>
      </w:r>
      <w:r w:rsidRPr="00997C59">
        <w:rPr>
          <w:iCs/>
        </w:rPr>
        <w:t>) ont été comparé</w:t>
      </w:r>
      <w:r w:rsidR="003D0F99">
        <w:rPr>
          <w:iCs/>
        </w:rPr>
        <w:t>e</w:t>
      </w:r>
      <w:r w:rsidR="00A57196">
        <w:rPr>
          <w:iCs/>
        </w:rPr>
        <w:t>s</w:t>
      </w:r>
      <w:r w:rsidRPr="00997C59">
        <w:rPr>
          <w:iCs/>
        </w:rPr>
        <w:t xml:space="preserve"> au</w:t>
      </w:r>
      <w:r w:rsidR="003D0F99">
        <w:rPr>
          <w:iCs/>
        </w:rPr>
        <w:t>x</w:t>
      </w:r>
      <w:r w:rsidRPr="00997C59">
        <w:rPr>
          <w:iCs/>
        </w:rPr>
        <w:t xml:space="preserve"> 393 profils de la base de données </w:t>
      </w:r>
      <w:r>
        <w:rPr>
          <w:iCs/>
        </w:rPr>
        <w:t xml:space="preserve">partagée. </w:t>
      </w:r>
      <w:r w:rsidRPr="00997C59">
        <w:rPr>
          <w:iCs/>
        </w:rPr>
        <w:t xml:space="preserve">Toutes </w:t>
      </w:r>
      <w:r>
        <w:rPr>
          <w:iCs/>
        </w:rPr>
        <w:t xml:space="preserve">les </w:t>
      </w:r>
      <w:r w:rsidRPr="00997C59">
        <w:rPr>
          <w:iCs/>
        </w:rPr>
        <w:t>souches partageant 85% de similarité avec les profils des souches déjà typées par MLST ont été associée</w:t>
      </w:r>
      <w:r w:rsidR="00A57196">
        <w:rPr>
          <w:iCs/>
        </w:rPr>
        <w:t>s</w:t>
      </w:r>
      <w:r w:rsidRPr="00997C59">
        <w:rPr>
          <w:iCs/>
        </w:rPr>
        <w:t xml:space="preserve"> à un CC</w:t>
      </w:r>
      <w:r>
        <w:rPr>
          <w:iCs/>
        </w:rPr>
        <w:t xml:space="preserve"> selon la méthode décrite </w:t>
      </w:r>
      <w:r w:rsidR="003D0F99">
        <w:rPr>
          <w:iCs/>
        </w:rPr>
        <w:t>par</w:t>
      </w:r>
      <w:r w:rsidR="004E060F">
        <w:rPr>
          <w:iCs/>
        </w:rPr>
        <w:t xml:space="preserve"> </w:t>
      </w:r>
      <w:r w:rsidR="004E060F">
        <w:rPr>
          <w:iCs/>
        </w:rPr>
        <w:fldChar w:fldCharType="begin"/>
      </w:r>
      <w:r w:rsidR="004E060F">
        <w:rPr>
          <w:iCs/>
        </w:rPr>
        <w:instrText xml:space="preserve"> ADDIN EN.CITE &lt;EndNote&gt;&lt;Cite AuthorYear="1"&gt;&lt;Author&gt;Félix&lt;/Author&gt;&lt;Year&gt;2018&lt;/Year&gt;&lt;RecNum&gt;1260&lt;/RecNum&gt;&lt;DisplayText&gt;Félix&lt;style face="italic"&gt; et al.&lt;/style&gt; (2018)&lt;/DisplayText&gt;&lt;record&gt;&lt;rec-number&gt;1260&lt;/rec-number&gt;&lt;foreign-keys&gt;&lt;key app="EN" db-id="xrawss2d999aevez25svdvwj909sxsvw00x2" timestamp="1619187176"&gt;1260&lt;/key&gt;&lt;/foreign-keys&gt;&lt;ref-type name="Journal Article"&gt;17&lt;/ref-type&gt;&lt;contributors&gt;&lt;authors&gt;&lt;author&gt;Félix, Benjamin&lt;/author&gt;&lt;author&gt;Feurer, Carole&lt;/author&gt;&lt;author&gt;Maillet, Aurelien&lt;/author&gt;&lt;author&gt;Guillier, Laurent&lt;/author&gt;&lt;author&gt;Boscher, Evelyne&lt;/author&gt;&lt;author&gt;Kerouanton, Annaëlle&lt;/author&gt;&lt;author&gt;Denis, Martine&lt;/author&gt;&lt;author&gt;Roussel, Sophie&lt;/author&gt;&lt;/authors&gt;&lt;/contributors&gt;&lt;titles&gt;&lt;title&gt;Population genetic structure of Listeria monocytogenes strains isolated from the pig and pork production chain in France&lt;/title&gt;&lt;secondary-title&gt;Frontiers in microbiology&lt;/secondary-title&gt;&lt;/titles&gt;&lt;periodical&gt;&lt;full-title&gt;Front Microbiol&lt;/full-title&gt;&lt;abbr-1&gt;Frontiers in microbiology&lt;/abbr-1&gt;&lt;/periodical&gt;&lt;pages&gt;684&lt;/pages&gt;&lt;volume&gt;9&lt;/volume&gt;&lt;dates&gt;&lt;year&gt;2018&lt;/year&gt;&lt;/dates&gt;&lt;isbn&gt;1664-302X&lt;/isbn&gt;&lt;urls&gt;&lt;/urls&gt;&lt;/record&gt;&lt;/Cite&gt;&lt;/EndNote&gt;</w:instrText>
      </w:r>
      <w:r w:rsidR="004E060F">
        <w:rPr>
          <w:iCs/>
        </w:rPr>
        <w:fldChar w:fldCharType="separate"/>
      </w:r>
      <w:r w:rsidR="004E060F">
        <w:rPr>
          <w:iCs/>
          <w:noProof/>
        </w:rPr>
        <w:t>Félix</w:t>
      </w:r>
      <w:r w:rsidR="004E060F" w:rsidRPr="004E060F">
        <w:rPr>
          <w:i/>
          <w:iCs/>
          <w:noProof/>
        </w:rPr>
        <w:t xml:space="preserve"> et al.</w:t>
      </w:r>
      <w:r w:rsidR="004E060F">
        <w:rPr>
          <w:iCs/>
          <w:noProof/>
        </w:rPr>
        <w:t xml:space="preserve"> (2018)</w:t>
      </w:r>
      <w:r w:rsidR="004E060F">
        <w:rPr>
          <w:iCs/>
        </w:rPr>
        <w:fldChar w:fldCharType="end"/>
      </w:r>
      <w:r w:rsidRPr="00997C59">
        <w:rPr>
          <w:iCs/>
        </w:rPr>
        <w:t>. C</w:t>
      </w:r>
      <w:r>
        <w:rPr>
          <w:iCs/>
        </w:rPr>
        <w:t>ertaines souches</w:t>
      </w:r>
      <w:r w:rsidR="003D0F99">
        <w:rPr>
          <w:iCs/>
        </w:rPr>
        <w:t>,</w:t>
      </w:r>
      <w:r>
        <w:rPr>
          <w:iCs/>
        </w:rPr>
        <w:t xml:space="preserve"> </w:t>
      </w:r>
      <w:r w:rsidRPr="00997C59">
        <w:rPr>
          <w:iCs/>
        </w:rPr>
        <w:t>dont le CC n’a pas été identifié ont été notée</w:t>
      </w:r>
      <w:r>
        <w:rPr>
          <w:iCs/>
        </w:rPr>
        <w:t>s</w:t>
      </w:r>
      <w:r w:rsidRPr="00997C59">
        <w:rPr>
          <w:iCs/>
        </w:rPr>
        <w:t xml:space="preserve"> comme non déterminée « ND ». Les profils PFGE de l’ADRIA ont </w:t>
      </w:r>
      <w:r w:rsidR="003D0F99">
        <w:rPr>
          <w:iCs/>
        </w:rPr>
        <w:t>été typés uniquement</w:t>
      </w:r>
      <w:r w:rsidRPr="00997C59">
        <w:rPr>
          <w:iCs/>
        </w:rPr>
        <w:t xml:space="preserve"> par l’enzyme de restriction </w:t>
      </w:r>
      <w:proofErr w:type="spellStart"/>
      <w:r w:rsidRPr="00997C59">
        <w:rPr>
          <w:i/>
          <w:iCs/>
        </w:rPr>
        <w:t>Apa</w:t>
      </w:r>
      <w:r w:rsidRPr="00997C59">
        <w:rPr>
          <w:iCs/>
        </w:rPr>
        <w:t>I</w:t>
      </w:r>
      <w:proofErr w:type="spellEnd"/>
      <w:r w:rsidRPr="00997C59">
        <w:rPr>
          <w:iCs/>
        </w:rPr>
        <w:t xml:space="preserve">, ce qui </w:t>
      </w:r>
      <w:r>
        <w:rPr>
          <w:iCs/>
        </w:rPr>
        <w:t>réduit la concordance entre les deux méthodes mais n’empêche</w:t>
      </w:r>
      <w:r w:rsidRPr="00997C59">
        <w:rPr>
          <w:iCs/>
        </w:rPr>
        <w:t xml:space="preserve"> </w:t>
      </w:r>
      <w:r>
        <w:rPr>
          <w:iCs/>
        </w:rPr>
        <w:t xml:space="preserve">pas de déduire le CC du </w:t>
      </w:r>
      <w:r w:rsidR="003D0F99">
        <w:rPr>
          <w:iCs/>
        </w:rPr>
        <w:t xml:space="preserve">profil </w:t>
      </w:r>
      <w:r w:rsidRPr="00997C59">
        <w:rPr>
          <w:iCs/>
        </w:rPr>
        <w:t>PFGE.</w:t>
      </w:r>
    </w:p>
    <w:p w14:paraId="1DF98593" w14:textId="445FA0B5" w:rsidR="000E504C" w:rsidRDefault="000E504C" w:rsidP="00FA4D29">
      <w:pPr>
        <w:pStyle w:val="Titre5"/>
        <w:rPr>
          <w:i/>
        </w:rPr>
      </w:pPr>
      <w:r>
        <w:t xml:space="preserve">Multi-locus </w:t>
      </w:r>
      <w:proofErr w:type="spellStart"/>
      <w:r>
        <w:t>sequence</w:t>
      </w:r>
      <w:proofErr w:type="spellEnd"/>
      <w:r>
        <w:t xml:space="preserve"> </w:t>
      </w:r>
      <w:proofErr w:type="spellStart"/>
      <w:r>
        <w:t>typing</w:t>
      </w:r>
      <w:proofErr w:type="spellEnd"/>
      <w:r>
        <w:t xml:space="preserve"> (MLST)</w:t>
      </w:r>
    </w:p>
    <w:p w14:paraId="0E4189E1" w14:textId="30B3FC38" w:rsidR="000E504C" w:rsidRDefault="000E504C" w:rsidP="000E504C">
      <w:pPr>
        <w:rPr>
          <w:iCs/>
        </w:rPr>
      </w:pPr>
      <w:r>
        <w:rPr>
          <w:iCs/>
        </w:rPr>
        <w:t>Le séquençage du génome complet des souches est nécessaire à leur analyse par MLST. Le séquençage des souches utilisé</w:t>
      </w:r>
      <w:r w:rsidR="00A57196">
        <w:rPr>
          <w:iCs/>
        </w:rPr>
        <w:t>es</w:t>
      </w:r>
      <w:r>
        <w:rPr>
          <w:iCs/>
        </w:rPr>
        <w:t xml:space="preserve"> pour ce projet a été réalisé par la technologie Illumina (pair-end).</w:t>
      </w:r>
    </w:p>
    <w:p w14:paraId="03533FF4" w14:textId="7550EA19" w:rsidR="000E504C" w:rsidRDefault="000E504C" w:rsidP="000E504C">
      <w:pPr>
        <w:rPr>
          <w:iCs/>
        </w:rPr>
      </w:pPr>
      <w:r>
        <w:rPr>
          <w:iCs/>
        </w:rPr>
        <w:lastRenderedPageBreak/>
        <w:t>Le typage par MLST se fait suivant le schéma de</w:t>
      </w:r>
      <w:r w:rsidR="004E060F">
        <w:rPr>
          <w:iCs/>
        </w:rPr>
        <w:t xml:space="preserve"> </w:t>
      </w:r>
      <w:r w:rsidR="004E060F">
        <w:rPr>
          <w:iCs/>
        </w:rPr>
        <w:fldChar w:fldCharType="begin"/>
      </w:r>
      <w:r w:rsidR="004E060F">
        <w:rPr>
          <w:iCs/>
        </w:rPr>
        <w:instrText xml:space="preserve"> ADDIN EN.CITE &lt;EndNote&gt;&lt;Cite&gt;&lt;Author&gt;Ragon&lt;/Author&gt;&lt;Year&gt;2008&lt;/Year&gt;&lt;RecNum&gt;1290&lt;/RecNum&gt;&lt;DisplayText&gt;(Ragon&lt;style face="italic"&gt; et al.&lt;/style&gt;, 2008)&lt;/DisplayText&gt;&lt;record&gt;&lt;rec-number&gt;1290&lt;/rec-number&gt;&lt;foreign-keys&gt;&lt;key app="EN" db-id="xrawss2d999aevez25svdvwj909sxsvw00x2" timestamp="1621414684"&gt;1290&lt;/key&gt;&lt;/foreign-keys&gt;&lt;ref-type name="Journal Article"&gt;17&lt;/ref-type&gt;&lt;contributors&gt;&lt;authors&gt;&lt;author&gt;Ragon, Marie&lt;/author&gt;&lt;author&gt;Wirth, Thierry&lt;/author&gt;&lt;author&gt;Hollandt, Florian&lt;/author&gt;&lt;author&gt;Lavenir, Rachel&lt;/author&gt;&lt;author&gt;Lecuit, Marc&lt;/author&gt;&lt;author&gt;Le Monnier, Alban&lt;/author&gt;&lt;author&gt;Brisse, Sylvain&lt;/author&gt;&lt;/authors&gt;&lt;/contributors&gt;&lt;titles&gt;&lt;title&gt;A new perspective on Listeria monocytogenes evolution&lt;/title&gt;&lt;secondary-title&gt;PLoS Pathog&lt;/secondary-title&gt;&lt;/titles&gt;&lt;periodical&gt;&lt;full-title&gt;PLoS Pathog&lt;/full-title&gt;&lt;/periodical&gt;&lt;pages&gt;e1000146&lt;/pages&gt;&lt;volume&gt;4&lt;/volume&gt;&lt;number&gt;9&lt;/number&gt;&lt;dates&gt;&lt;year&gt;2008&lt;/year&gt;&lt;/dates&gt;&lt;isbn&gt;1553-7374&lt;/isbn&gt;&lt;urls&gt;&lt;/urls&gt;&lt;/record&gt;&lt;/Cite&gt;&lt;/EndNote&gt;</w:instrText>
      </w:r>
      <w:r w:rsidR="004E060F">
        <w:rPr>
          <w:iCs/>
        </w:rPr>
        <w:fldChar w:fldCharType="separate"/>
      </w:r>
      <w:r w:rsidR="004E060F">
        <w:rPr>
          <w:iCs/>
          <w:noProof/>
        </w:rPr>
        <w:t>Ragon</w:t>
      </w:r>
      <w:r w:rsidR="004E060F" w:rsidRPr="004E060F">
        <w:rPr>
          <w:i/>
          <w:iCs/>
          <w:noProof/>
        </w:rPr>
        <w:t xml:space="preserve"> et al.</w:t>
      </w:r>
      <w:r w:rsidR="004E060F">
        <w:rPr>
          <w:iCs/>
          <w:noProof/>
        </w:rPr>
        <w:t xml:space="preserve"> </w:t>
      </w:r>
      <w:r w:rsidR="003D0F99">
        <w:rPr>
          <w:iCs/>
          <w:noProof/>
        </w:rPr>
        <w:t>(</w:t>
      </w:r>
      <w:r w:rsidR="004E060F">
        <w:rPr>
          <w:iCs/>
          <w:noProof/>
        </w:rPr>
        <w:t>2008)</w:t>
      </w:r>
      <w:r w:rsidR="004E060F">
        <w:rPr>
          <w:iCs/>
        </w:rPr>
        <w:fldChar w:fldCharType="end"/>
      </w:r>
      <w:r w:rsidR="004E060F">
        <w:rPr>
          <w:iCs/>
        </w:rPr>
        <w:t xml:space="preserve"> </w:t>
      </w:r>
      <w:r>
        <w:rPr>
          <w:iCs/>
        </w:rPr>
        <w:t xml:space="preserve">adapté à </w:t>
      </w:r>
      <w:r w:rsidRPr="00DD1268">
        <w:rPr>
          <w:i/>
          <w:iCs/>
        </w:rPr>
        <w:t>Listeria</w:t>
      </w:r>
      <w:r>
        <w:rPr>
          <w:iCs/>
        </w:rPr>
        <w:t>. Les MLST types utilisés se base</w:t>
      </w:r>
      <w:r w:rsidR="003D0F99">
        <w:rPr>
          <w:iCs/>
        </w:rPr>
        <w:t>nt</w:t>
      </w:r>
      <w:r>
        <w:rPr>
          <w:iCs/>
        </w:rPr>
        <w:t xml:space="preserve"> sur la nomenclature de la base de données publique </w:t>
      </w:r>
      <w:hyperlink r:id="rId19" w:history="1">
        <w:r w:rsidRPr="00F72C36">
          <w:rPr>
            <w:rStyle w:val="Lienhypertexte"/>
          </w:rPr>
          <w:t>https://bigsdb.pasteur.fr/cgi-bin/bigsdb/bigsdb.pl?db=pubmlst_listeria_seqdef</w:t>
        </w:r>
      </w:hyperlink>
      <w:r>
        <w:rPr>
          <w:iCs/>
        </w:rPr>
        <w:t>.</w:t>
      </w:r>
    </w:p>
    <w:p w14:paraId="72142903" w14:textId="120312C1" w:rsidR="000E504C" w:rsidRDefault="000E504C" w:rsidP="00FA4D29">
      <w:pPr>
        <w:pStyle w:val="Titre5"/>
        <w:rPr>
          <w:i/>
        </w:rPr>
      </w:pPr>
      <w:r w:rsidRPr="008920F3">
        <w:tab/>
      </w:r>
      <w:r>
        <w:t>Méthode</w:t>
      </w:r>
      <w:r w:rsidR="003D0F99">
        <w:t>s</w:t>
      </w:r>
      <w:r>
        <w:t xml:space="preserve"> d’extraction</w:t>
      </w:r>
      <w:r w:rsidR="003D0F99">
        <w:t xml:space="preserve"> d’ADN</w:t>
      </w:r>
      <w:r>
        <w:t xml:space="preserve"> utilisée</w:t>
      </w:r>
      <w:r w:rsidR="003D0F99">
        <w:t>s</w:t>
      </w:r>
    </w:p>
    <w:p w14:paraId="13A8F721" w14:textId="55089883" w:rsidR="000E504C" w:rsidRDefault="000E504C" w:rsidP="000E504C">
      <w:pPr>
        <w:rPr>
          <w:iCs/>
        </w:rPr>
      </w:pPr>
      <w:r>
        <w:rPr>
          <w:iCs/>
        </w:rPr>
        <w:t>(i)</w:t>
      </w:r>
      <w:r w:rsidRPr="00120196">
        <w:t xml:space="preserve"> </w:t>
      </w:r>
      <w:r w:rsidRPr="00120196">
        <w:rPr>
          <w:iCs/>
        </w:rPr>
        <w:t>Extraction d'ADN</w:t>
      </w:r>
      <w:r>
        <w:rPr>
          <w:iCs/>
        </w:rPr>
        <w:t xml:space="preserve"> </w:t>
      </w:r>
      <w:r w:rsidRPr="00120196">
        <w:rPr>
          <w:iCs/>
        </w:rPr>
        <w:t>g</w:t>
      </w:r>
      <w:r w:rsidR="003D0F99">
        <w:rPr>
          <w:iCs/>
        </w:rPr>
        <w:t>é</w:t>
      </w:r>
      <w:r>
        <w:rPr>
          <w:iCs/>
        </w:rPr>
        <w:t>nomique</w:t>
      </w:r>
      <w:r w:rsidRPr="00120196">
        <w:rPr>
          <w:iCs/>
        </w:rPr>
        <w:t xml:space="preserve"> de</w:t>
      </w:r>
      <w:r w:rsidRPr="00120196">
        <w:rPr>
          <w:i/>
          <w:iCs/>
        </w:rPr>
        <w:t xml:space="preserve"> Listeria</w:t>
      </w:r>
      <w:r w:rsidRPr="00120196">
        <w:rPr>
          <w:iCs/>
        </w:rPr>
        <w:t xml:space="preserve"> à l'aide du kit </w:t>
      </w:r>
      <w:proofErr w:type="spellStart"/>
      <w:r>
        <w:rPr>
          <w:iCs/>
        </w:rPr>
        <w:t>QIAGen</w:t>
      </w:r>
      <w:proofErr w:type="spellEnd"/>
      <w:r>
        <w:rPr>
          <w:iCs/>
        </w:rPr>
        <w:t xml:space="preserve"> </w:t>
      </w:r>
      <w:proofErr w:type="spellStart"/>
      <w:r>
        <w:rPr>
          <w:iCs/>
        </w:rPr>
        <w:t>DNAeasy</w:t>
      </w:r>
      <w:proofErr w:type="spellEnd"/>
      <w:r>
        <w:rPr>
          <w:iCs/>
        </w:rPr>
        <w:t xml:space="preserve">® </w:t>
      </w:r>
      <w:proofErr w:type="spellStart"/>
      <w:r>
        <w:rPr>
          <w:iCs/>
        </w:rPr>
        <w:t>blood</w:t>
      </w:r>
      <w:proofErr w:type="spellEnd"/>
      <w:r>
        <w:rPr>
          <w:iCs/>
        </w:rPr>
        <w:t xml:space="preserve"> &amp; tissu (</w:t>
      </w:r>
      <w:proofErr w:type="spellStart"/>
      <w:r>
        <w:rPr>
          <w:iCs/>
        </w:rPr>
        <w:t>QIAGen</w:t>
      </w:r>
      <w:proofErr w:type="spellEnd"/>
      <w:r>
        <w:rPr>
          <w:iCs/>
        </w:rPr>
        <w:t xml:space="preserve">, Les </w:t>
      </w:r>
      <w:proofErr w:type="spellStart"/>
      <w:r>
        <w:rPr>
          <w:iCs/>
        </w:rPr>
        <w:t>Ullis</w:t>
      </w:r>
      <w:proofErr w:type="spellEnd"/>
      <w:r>
        <w:rPr>
          <w:iCs/>
        </w:rPr>
        <w:t xml:space="preserve">, France) </w:t>
      </w:r>
    </w:p>
    <w:p w14:paraId="541D790A" w14:textId="6DCFFD79" w:rsidR="000E504C" w:rsidRDefault="000E504C" w:rsidP="000E504C">
      <w:pPr>
        <w:rPr>
          <w:iCs/>
        </w:rPr>
      </w:pPr>
      <w:r>
        <w:rPr>
          <w:iCs/>
        </w:rPr>
        <w:t>(ii)</w:t>
      </w:r>
      <w:r w:rsidRPr="00120196">
        <w:t xml:space="preserve"> </w:t>
      </w:r>
      <w:r w:rsidRPr="00120196">
        <w:rPr>
          <w:iCs/>
        </w:rPr>
        <w:t>Extraction de l'ADN</w:t>
      </w:r>
      <w:r>
        <w:rPr>
          <w:iCs/>
        </w:rPr>
        <w:t xml:space="preserve"> </w:t>
      </w:r>
      <w:r w:rsidRPr="00120196">
        <w:rPr>
          <w:iCs/>
        </w:rPr>
        <w:t>g</w:t>
      </w:r>
      <w:r>
        <w:rPr>
          <w:iCs/>
        </w:rPr>
        <w:t>énomique</w:t>
      </w:r>
      <w:r w:rsidRPr="00120196">
        <w:rPr>
          <w:iCs/>
        </w:rPr>
        <w:t xml:space="preserve"> </w:t>
      </w:r>
      <w:r w:rsidR="003D0F99">
        <w:rPr>
          <w:iCs/>
        </w:rPr>
        <w:t>de</w:t>
      </w:r>
      <w:r w:rsidRPr="00120196">
        <w:rPr>
          <w:iCs/>
        </w:rPr>
        <w:t xml:space="preserve"> </w:t>
      </w:r>
      <w:r w:rsidRPr="00120196">
        <w:rPr>
          <w:i/>
          <w:iCs/>
        </w:rPr>
        <w:t>Listeria</w:t>
      </w:r>
      <w:r w:rsidRPr="00120196">
        <w:rPr>
          <w:iCs/>
        </w:rPr>
        <w:t xml:space="preserve"> et </w:t>
      </w:r>
      <w:r w:rsidRPr="00120196">
        <w:rPr>
          <w:i/>
          <w:iCs/>
        </w:rPr>
        <w:t>Salmonella</w:t>
      </w:r>
      <w:r w:rsidRPr="00120196">
        <w:rPr>
          <w:iCs/>
        </w:rPr>
        <w:t xml:space="preserve"> à l'aide du kit </w:t>
      </w:r>
      <w:proofErr w:type="spellStart"/>
      <w:r w:rsidRPr="00120196">
        <w:rPr>
          <w:iCs/>
        </w:rPr>
        <w:t>Wizard</w:t>
      </w:r>
      <w:proofErr w:type="spellEnd"/>
      <w:r w:rsidRPr="00120196">
        <w:rPr>
          <w:iCs/>
        </w:rPr>
        <w:t xml:space="preserve">® SV </w:t>
      </w:r>
      <w:proofErr w:type="spellStart"/>
      <w:r>
        <w:rPr>
          <w:iCs/>
        </w:rPr>
        <w:t>Genomic</w:t>
      </w:r>
      <w:proofErr w:type="spellEnd"/>
      <w:r>
        <w:rPr>
          <w:iCs/>
        </w:rPr>
        <w:t xml:space="preserve"> DNA Purification System (</w:t>
      </w:r>
      <w:proofErr w:type="spellStart"/>
      <w:r>
        <w:rPr>
          <w:iCs/>
        </w:rPr>
        <w:t>Promega</w:t>
      </w:r>
      <w:proofErr w:type="spellEnd"/>
      <w:r>
        <w:rPr>
          <w:iCs/>
        </w:rPr>
        <w:t xml:space="preserve">, </w:t>
      </w:r>
      <w:r w:rsidRPr="00996D8A">
        <w:rPr>
          <w:iCs/>
        </w:rPr>
        <w:t>Charbonnières-les-Bains</w:t>
      </w:r>
      <w:r>
        <w:rPr>
          <w:iCs/>
        </w:rPr>
        <w:t>, France).</w:t>
      </w:r>
    </w:p>
    <w:p w14:paraId="09B95C7D" w14:textId="0A2318A4" w:rsidR="000E504C" w:rsidRDefault="000E504C" w:rsidP="000E504C">
      <w:pPr>
        <w:rPr>
          <w:iCs/>
        </w:rPr>
      </w:pPr>
      <w:r w:rsidRPr="00773222">
        <w:rPr>
          <w:iCs/>
        </w:rPr>
        <w:t xml:space="preserve">(iii) </w:t>
      </w:r>
      <w:proofErr w:type="spellStart"/>
      <w:r w:rsidRPr="00773222">
        <w:rPr>
          <w:iCs/>
        </w:rPr>
        <w:t>InstaGene</w:t>
      </w:r>
      <w:proofErr w:type="spellEnd"/>
      <w:r w:rsidRPr="00773222">
        <w:rPr>
          <w:iCs/>
        </w:rPr>
        <w:t xml:space="preserve"> Matrix (Bio-Rad) </w:t>
      </w:r>
      <w:r>
        <w:rPr>
          <w:iCs/>
        </w:rPr>
        <w:t xml:space="preserve">(Bio-Rad, </w:t>
      </w:r>
      <w:r w:rsidRPr="00996D8A">
        <w:rPr>
          <w:iCs/>
        </w:rPr>
        <w:t>Marnes-la-Coquette</w:t>
      </w:r>
      <w:r>
        <w:rPr>
          <w:iCs/>
        </w:rPr>
        <w:t>, France).</w:t>
      </w:r>
    </w:p>
    <w:p w14:paraId="2271EF52" w14:textId="2196AD22" w:rsidR="000E504C" w:rsidRDefault="000E504C" w:rsidP="00FA4D29">
      <w:pPr>
        <w:pStyle w:val="Titre5"/>
        <w:rPr>
          <w:i/>
        </w:rPr>
      </w:pPr>
      <w:r>
        <w:t xml:space="preserve">Définition de la méthode </w:t>
      </w:r>
      <w:r w:rsidR="003D0F99">
        <w:t xml:space="preserve">PCR en temps réel </w:t>
      </w:r>
      <w:proofErr w:type="spellStart"/>
      <w:r>
        <w:t>Geno</w:t>
      </w:r>
      <w:r w:rsidRPr="000E504C">
        <w:rPr>
          <w:i/>
        </w:rPr>
        <w:t>Listeria</w:t>
      </w:r>
      <w:proofErr w:type="spellEnd"/>
    </w:p>
    <w:p w14:paraId="58FC9D1E" w14:textId="0B80307C" w:rsidR="000E504C" w:rsidRDefault="000E504C" w:rsidP="00FA4D29">
      <w:pPr>
        <w:pStyle w:val="Titre6"/>
      </w:pPr>
      <w:r>
        <w:t>D</w:t>
      </w:r>
      <w:r w:rsidR="003D0F99">
        <w:t>essin</w:t>
      </w:r>
      <w:r>
        <w:t xml:space="preserve"> des sondes et des amorces</w:t>
      </w:r>
    </w:p>
    <w:p w14:paraId="3109F3EB" w14:textId="7476E227" w:rsidR="000E504C" w:rsidRDefault="000E504C" w:rsidP="000E504C">
      <w:r>
        <w:t>La localisation génomique des régions</w:t>
      </w:r>
      <w:r w:rsidR="003D0F99">
        <w:t>,</w:t>
      </w:r>
      <w:r>
        <w:t xml:space="preserve"> où se fait la définition des sondes</w:t>
      </w:r>
      <w:r w:rsidR="003D0F99">
        <w:t>,</w:t>
      </w:r>
      <w:r>
        <w:t xml:space="preserve"> a été obtenues via un outil bio-informatique développé en interne à l’Anses et non publié. Cet outil exploite le panel de 868 génomes destiné à la définition des régions génomiques d’intérêt (2.1.). Cet outil permet de définir les régions de 300 </w:t>
      </w:r>
      <w:proofErr w:type="spellStart"/>
      <w:r>
        <w:t>pb</w:t>
      </w:r>
      <w:proofErr w:type="spellEnd"/>
      <w:r>
        <w:t xml:space="preserve"> spécifiques et sensibles des </w:t>
      </w:r>
      <w:proofErr w:type="spellStart"/>
      <w:r>
        <w:t>CC</w:t>
      </w:r>
      <w:r w:rsidR="003D0F99">
        <w:t>s</w:t>
      </w:r>
      <w:proofErr w:type="spellEnd"/>
      <w:r>
        <w:t xml:space="preserve"> ciblés.</w:t>
      </w:r>
    </w:p>
    <w:p w14:paraId="65DF3D29" w14:textId="3E26EB86" w:rsidR="000E504C" w:rsidRDefault="000E504C" w:rsidP="000E504C">
      <w:r>
        <w:t xml:space="preserve">Pour les </w:t>
      </w:r>
      <w:proofErr w:type="spellStart"/>
      <w:r>
        <w:t>CC</w:t>
      </w:r>
      <w:r w:rsidR="003D0F99">
        <w:t>s</w:t>
      </w:r>
      <w:proofErr w:type="spellEnd"/>
      <w:r>
        <w:t xml:space="preserve"> ne portant </w:t>
      </w:r>
      <w:r w:rsidR="00D80DF9">
        <w:t xml:space="preserve">pas </w:t>
      </w:r>
      <w:r>
        <w:t>de région</w:t>
      </w:r>
      <w:r w:rsidR="003D0F99">
        <w:t>s</w:t>
      </w:r>
      <w:r>
        <w:t xml:space="preserve"> génomique</w:t>
      </w:r>
      <w:r w:rsidR="003D0F99">
        <w:t>s</w:t>
      </w:r>
      <w:r>
        <w:t xml:space="preserve"> spécifique</w:t>
      </w:r>
      <w:r w:rsidR="003D0F99">
        <w:t>s</w:t>
      </w:r>
      <w:r>
        <w:t xml:space="preserve"> et sensible</w:t>
      </w:r>
      <w:r w:rsidR="003D0F99">
        <w:t>s</w:t>
      </w:r>
      <w:r>
        <w:t xml:space="preserve"> adéquate</w:t>
      </w:r>
      <w:r w:rsidR="003D0F99">
        <w:t>s</w:t>
      </w:r>
      <w:r>
        <w:t xml:space="preserve">, une autre approche a été mise en œuvre. Cette approche utilise le </w:t>
      </w:r>
      <w:proofErr w:type="spellStart"/>
      <w:r>
        <w:t>whole</w:t>
      </w:r>
      <w:proofErr w:type="spellEnd"/>
      <w:r>
        <w:t xml:space="preserve"> </w:t>
      </w:r>
      <w:proofErr w:type="spellStart"/>
      <w:r>
        <w:t>genome</w:t>
      </w:r>
      <w:proofErr w:type="spellEnd"/>
      <w:r>
        <w:t xml:space="preserve"> MLST (</w:t>
      </w:r>
      <w:proofErr w:type="spellStart"/>
      <w:r>
        <w:t>wgMLST</w:t>
      </w:r>
      <w:proofErr w:type="spellEnd"/>
      <w:r>
        <w:t xml:space="preserve">) 4807 gènes. Elle est réalisée en utilisant </w:t>
      </w:r>
      <w:proofErr w:type="spellStart"/>
      <w:r>
        <w:t>BioNumerics</w:t>
      </w:r>
      <w:proofErr w:type="spellEnd"/>
      <w:r>
        <w:t xml:space="preserve"> version 7.6 et le </w:t>
      </w:r>
      <w:proofErr w:type="spellStart"/>
      <w:r>
        <w:t>Calculation</w:t>
      </w:r>
      <w:proofErr w:type="spellEnd"/>
      <w:r>
        <w:t xml:space="preserve"> Engine développé à l’ANSES. Les allèles de </w:t>
      </w:r>
      <w:proofErr w:type="spellStart"/>
      <w:r>
        <w:t>wgMLST</w:t>
      </w:r>
      <w:proofErr w:type="spellEnd"/>
      <w:r>
        <w:t xml:space="preserve"> spécifiques et sensibles des </w:t>
      </w:r>
      <w:proofErr w:type="spellStart"/>
      <w:r>
        <w:t>CC</w:t>
      </w:r>
      <w:r w:rsidR="003D0F99">
        <w:t>s</w:t>
      </w:r>
      <w:proofErr w:type="spellEnd"/>
      <w:r>
        <w:t xml:space="preserve"> ciblés ont été utilisés pour le </w:t>
      </w:r>
      <w:r w:rsidR="003D0F99">
        <w:t>dessin</w:t>
      </w:r>
      <w:r>
        <w:t xml:space="preserve"> des sondes et des amorces.</w:t>
      </w:r>
    </w:p>
    <w:p w14:paraId="403A2FFA" w14:textId="1346B0B3" w:rsidR="000E504C" w:rsidRDefault="000E504C" w:rsidP="000E504C">
      <w:r>
        <w:t xml:space="preserve">Le </w:t>
      </w:r>
      <w:r w:rsidR="003D0F99">
        <w:t>dessin</w:t>
      </w:r>
      <w:r>
        <w:t xml:space="preserve"> des sondes et amorces a été réalisé à l’aide du logiciel </w:t>
      </w:r>
      <w:proofErr w:type="spellStart"/>
      <w:r>
        <w:t>Beacon</w:t>
      </w:r>
      <w:proofErr w:type="spellEnd"/>
      <w:r>
        <w:t xml:space="preserve"> designer 8.2 (Premier </w:t>
      </w:r>
      <w:proofErr w:type="spellStart"/>
      <w:r>
        <w:t>Biosoft</w:t>
      </w:r>
      <w:proofErr w:type="spellEnd"/>
      <w:r>
        <w:t>, San Francisco, USA).</w:t>
      </w:r>
    </w:p>
    <w:p w14:paraId="134F5ABF" w14:textId="3297AAC8" w:rsidR="000E504C" w:rsidRDefault="000E504C" w:rsidP="000E504C">
      <w:r>
        <w:t>Les couples d’amorce</w:t>
      </w:r>
      <w:r w:rsidR="003D0F99">
        <w:t>s</w:t>
      </w:r>
      <w:r>
        <w:t xml:space="preserve"> et de sondes ont été ensuite validés par BLAST dans </w:t>
      </w:r>
      <w:proofErr w:type="spellStart"/>
      <w:r>
        <w:t>BioNumerics</w:t>
      </w:r>
      <w:proofErr w:type="spellEnd"/>
      <w:r>
        <w:t xml:space="preserve"> 7.6 en exploitant le panel de 2299 génomes de validation </w:t>
      </w:r>
      <w:r w:rsidRPr="000742C0">
        <w:rPr>
          <w:i/>
        </w:rPr>
        <w:t>in silico</w:t>
      </w:r>
      <w:r>
        <w:t xml:space="preserve"> (section 2.1.2).</w:t>
      </w:r>
    </w:p>
    <w:p w14:paraId="385E316B" w14:textId="4DE1903A" w:rsidR="000E504C" w:rsidRDefault="000E504C" w:rsidP="00FA4D29">
      <w:pPr>
        <w:pStyle w:val="Titre6"/>
      </w:pPr>
      <w:r>
        <w:t>Dosage des extraits d’ADN</w:t>
      </w:r>
    </w:p>
    <w:p w14:paraId="167D7132" w14:textId="1ACA9BB2" w:rsidR="000E504C" w:rsidRDefault="000E504C" w:rsidP="000E504C">
      <w:r>
        <w:t xml:space="preserve">Les extraits d’ADN ont été dosés par </w:t>
      </w:r>
      <w:proofErr w:type="spellStart"/>
      <w:r>
        <w:t>fluorimétrie</w:t>
      </w:r>
      <w:proofErr w:type="spellEnd"/>
      <w:r>
        <w:t xml:space="preserve"> à l’aide d’un système de mesure </w:t>
      </w:r>
      <w:proofErr w:type="spellStart"/>
      <w:r>
        <w:t>Qubit</w:t>
      </w:r>
      <w:proofErr w:type="spellEnd"/>
      <w:r>
        <w:t xml:space="preserve"> (</w:t>
      </w:r>
      <w:proofErr w:type="spellStart"/>
      <w:r>
        <w:t>Thermofisher</w:t>
      </w:r>
      <w:proofErr w:type="spellEnd"/>
      <w:r>
        <w:t xml:space="preserve">, Saint Herblain, France) puis dilués, si besoin, jusqu’à une concentration se situant entre 0,1 et 1 </w:t>
      </w:r>
      <w:proofErr w:type="spellStart"/>
      <w:r>
        <w:t>ng</w:t>
      </w:r>
      <w:proofErr w:type="spellEnd"/>
      <w:r>
        <w:t>/µL. Cette gamme de concentration a été obtenue sur la base de l’analyse de limite de détection de chacun des tests PCR (les données ne sont pas présentées). Cette gamme de concentration a été appliquée pour la préparation des ADN analysés par PCR</w:t>
      </w:r>
      <w:r w:rsidRPr="00B606AC">
        <w:t xml:space="preserve"> </w:t>
      </w:r>
      <w:r w:rsidRPr="00120196">
        <w:t>en temps réel</w:t>
      </w:r>
      <w:r>
        <w:t xml:space="preserve"> haut débit et par PCR</w:t>
      </w:r>
      <w:r w:rsidRPr="00B606AC">
        <w:t xml:space="preserve"> </w:t>
      </w:r>
      <w:r w:rsidRPr="00120196">
        <w:t>en temps réel</w:t>
      </w:r>
      <w:r>
        <w:t xml:space="preserve"> triplex.</w:t>
      </w:r>
    </w:p>
    <w:p w14:paraId="65F8D85D" w14:textId="5FE38EC1" w:rsidR="000E504C" w:rsidRDefault="005A74FA" w:rsidP="00FA4D29">
      <w:pPr>
        <w:pStyle w:val="Titre6"/>
      </w:pPr>
      <w:r>
        <w:t xml:space="preserve">Méthode </w:t>
      </w:r>
      <w:r w:rsidR="00785FE0">
        <w:t xml:space="preserve">PCR en temps réel </w:t>
      </w:r>
      <w:proofErr w:type="spellStart"/>
      <w:r w:rsidR="000E504C">
        <w:t>Geno</w:t>
      </w:r>
      <w:r w:rsidR="000E504C" w:rsidRPr="000E504C">
        <w:t>Listeria</w:t>
      </w:r>
      <w:proofErr w:type="spellEnd"/>
      <w:r>
        <w:t xml:space="preserve"> </w:t>
      </w:r>
      <w:r w:rsidRPr="005A74FA">
        <w:t>haut débit</w:t>
      </w:r>
    </w:p>
    <w:p w14:paraId="716329EA" w14:textId="00D23B08" w:rsidR="005A74FA" w:rsidRDefault="005A74FA" w:rsidP="005A74FA">
      <w:r w:rsidRPr="00120196">
        <w:t xml:space="preserve">La méthode </w:t>
      </w:r>
      <w:r w:rsidR="00785FE0">
        <w:t xml:space="preserve">PCR en temps réel </w:t>
      </w:r>
      <w:proofErr w:type="spellStart"/>
      <w:r w:rsidRPr="00120196">
        <w:t>Geno</w:t>
      </w:r>
      <w:r w:rsidRPr="00D467B9">
        <w:rPr>
          <w:i/>
        </w:rPr>
        <w:t>Listeria</w:t>
      </w:r>
      <w:proofErr w:type="spellEnd"/>
      <w:r w:rsidRPr="00120196">
        <w:t xml:space="preserve"> utilise un système de PCR en temps réel haut débit </w:t>
      </w:r>
      <w:proofErr w:type="spellStart"/>
      <w:r w:rsidRPr="00120196">
        <w:t>microfluidique</w:t>
      </w:r>
      <w:proofErr w:type="spellEnd"/>
      <w:r w:rsidRPr="00120196">
        <w:t xml:space="preserve"> (</w:t>
      </w:r>
      <w:proofErr w:type="spellStart"/>
      <w:r>
        <w:t>Biomark</w:t>
      </w:r>
      <w:proofErr w:type="spellEnd"/>
      <w:r>
        <w:t>®,</w:t>
      </w:r>
      <w:r w:rsidRPr="00120196">
        <w:t xml:space="preserve"> </w:t>
      </w:r>
      <w:proofErr w:type="spellStart"/>
      <w:r w:rsidRPr="00120196">
        <w:t>Fluidigm</w:t>
      </w:r>
      <w:proofErr w:type="spellEnd"/>
      <w:r>
        <w:t xml:space="preserve"> les </w:t>
      </w:r>
      <w:proofErr w:type="spellStart"/>
      <w:r>
        <w:t>Ullis</w:t>
      </w:r>
      <w:proofErr w:type="spellEnd"/>
      <w:r w:rsidR="00785FE0">
        <w:t>,</w:t>
      </w:r>
      <w:r>
        <w:t xml:space="preserve"> France).</w:t>
      </w:r>
      <w:r w:rsidRPr="00120196">
        <w:t xml:space="preserve"> Ce système permet de tester au maximum 48 </w:t>
      </w:r>
      <w:r w:rsidRPr="00120196">
        <w:lastRenderedPageBreak/>
        <w:t xml:space="preserve">extraits d'ADN génomiques contre au maximum 48 couples de sondes et amorces. Ce système réalise l'analyse de chaque extrait par la totalité des </w:t>
      </w:r>
      <w:r w:rsidR="00A57196">
        <w:t xml:space="preserve">couples de </w:t>
      </w:r>
      <w:r w:rsidRPr="00120196">
        <w:t xml:space="preserve">sondes et </w:t>
      </w:r>
      <w:r w:rsidR="00A57196">
        <w:t>d’</w:t>
      </w:r>
      <w:r w:rsidRPr="00120196">
        <w:t>amorces testés.</w:t>
      </w:r>
    </w:p>
    <w:p w14:paraId="044BDE89" w14:textId="6D5BF3D0" w:rsidR="005A74FA" w:rsidRDefault="005A74FA" w:rsidP="005A74FA">
      <w:r>
        <w:t xml:space="preserve">La PCR </w:t>
      </w:r>
      <w:r w:rsidR="00785FE0">
        <w:t xml:space="preserve">en temps réel </w:t>
      </w:r>
      <w:r>
        <w:t xml:space="preserve">est réalisée avec un </w:t>
      </w:r>
      <w:r w:rsidR="00785FE0">
        <w:t xml:space="preserve">mélange réactionnel </w:t>
      </w:r>
      <w:r>
        <w:t xml:space="preserve">2X </w:t>
      </w:r>
      <w:proofErr w:type="spellStart"/>
      <w:r w:rsidRPr="007C1464">
        <w:t>PerfeCTa</w:t>
      </w:r>
      <w:proofErr w:type="spellEnd"/>
      <w:r w:rsidRPr="007C1464">
        <w:t xml:space="preserve">® </w:t>
      </w:r>
      <w:proofErr w:type="spellStart"/>
      <w:r w:rsidRPr="007C1464">
        <w:t>qPCR</w:t>
      </w:r>
      <w:proofErr w:type="spellEnd"/>
      <w:r w:rsidRPr="007C1464">
        <w:t xml:space="preserve"> </w:t>
      </w:r>
      <w:proofErr w:type="spellStart"/>
      <w:r w:rsidRPr="007C1464">
        <w:t>ToughMix</w:t>
      </w:r>
      <w:proofErr w:type="spellEnd"/>
      <w:r>
        <w:t xml:space="preserve"> (</w:t>
      </w:r>
      <w:hyperlink r:id="rId20" w:history="1">
        <w:r w:rsidRPr="00F72C36">
          <w:rPr>
            <w:rStyle w:val="Lienhypertexte"/>
          </w:rPr>
          <w:t>https://www.quantabio.com</w:t>
        </w:r>
      </w:hyperlink>
      <w:r>
        <w:t xml:space="preserve">, Beverly, USA). Les sondes et les amorces </w:t>
      </w:r>
      <w:proofErr w:type="spellStart"/>
      <w:r>
        <w:t>Taqman</w:t>
      </w:r>
      <w:proofErr w:type="spellEnd"/>
      <w:r w:rsidRPr="00F06613">
        <w:rPr>
          <w:rFonts w:ascii="Arial Narrow" w:hAnsi="Arial Narrow"/>
          <w:vertAlign w:val="superscript"/>
        </w:rPr>
        <w:t>®</w:t>
      </w:r>
      <w:r>
        <w:rPr>
          <w:rFonts w:ascii="Arial Narrow" w:hAnsi="Arial Narrow"/>
          <w:vertAlign w:val="superscript"/>
        </w:rPr>
        <w:t xml:space="preserve"> </w:t>
      </w:r>
      <w:r>
        <w:t xml:space="preserve">ont été commandés chez TIB </w:t>
      </w:r>
      <w:proofErr w:type="spellStart"/>
      <w:r>
        <w:t>molbio</w:t>
      </w:r>
      <w:proofErr w:type="spellEnd"/>
      <w:r>
        <w:t xml:space="preserve"> (</w:t>
      </w:r>
      <w:hyperlink r:id="rId21" w:history="1">
        <w:r w:rsidRPr="00F72C36">
          <w:rPr>
            <w:rStyle w:val="Lienhypertexte"/>
          </w:rPr>
          <w:t>https://www.tib-molbiol.de</w:t>
        </w:r>
      </w:hyperlink>
      <w:r>
        <w:t>, Berlin, Germany). Le cycle thermique appliqué est de 2 min à 50°C, 10 min à 95°C puis 40 cycles de 15 sec à 95°C et 1 min à 60°C.</w:t>
      </w:r>
    </w:p>
    <w:p w14:paraId="6DA4F03A" w14:textId="43880CBD" w:rsidR="005A74FA" w:rsidRDefault="00785FE0" w:rsidP="005A74FA">
      <w:r w:rsidRPr="00120196">
        <w:t xml:space="preserve">La méthode </w:t>
      </w:r>
      <w:r>
        <w:t xml:space="preserve">PCR en temps réel </w:t>
      </w:r>
      <w:proofErr w:type="spellStart"/>
      <w:r w:rsidR="005A74FA">
        <w:t>Geno</w:t>
      </w:r>
      <w:r w:rsidR="005A74FA" w:rsidRPr="00875F6D">
        <w:rPr>
          <w:i/>
        </w:rPr>
        <w:t>Listeria</w:t>
      </w:r>
      <w:proofErr w:type="spellEnd"/>
      <w:r w:rsidR="005A74FA">
        <w:t xml:space="preserve"> intègre trois contrôles : (i) des contrôles de PCR qui sont toujours positifs lorsque la souche </w:t>
      </w:r>
      <w:r>
        <w:t>appartient au genre</w:t>
      </w:r>
      <w:r w:rsidR="005A74FA">
        <w:t xml:space="preserve"> </w:t>
      </w:r>
      <w:r w:rsidR="005A74FA" w:rsidRPr="00875F6D">
        <w:rPr>
          <w:i/>
        </w:rPr>
        <w:t>Listeria</w:t>
      </w:r>
      <w:r w:rsidR="005A74FA">
        <w:t xml:space="preserve"> (PCR </w:t>
      </w:r>
      <w:proofErr w:type="spellStart"/>
      <w:r w:rsidR="005A74FA" w:rsidRPr="00785FE0">
        <w:rPr>
          <w:i/>
        </w:rPr>
        <w:t>prs</w:t>
      </w:r>
      <w:proofErr w:type="spellEnd"/>
      <w:r w:rsidR="005A74FA">
        <w:t xml:space="preserve">) et </w:t>
      </w:r>
      <w:r>
        <w:t xml:space="preserve">à l’espèce </w:t>
      </w:r>
      <w:r w:rsidRPr="00785FE0">
        <w:rPr>
          <w:i/>
        </w:rPr>
        <w:t>L.</w:t>
      </w:r>
      <w:r>
        <w:t xml:space="preserve"> </w:t>
      </w:r>
      <w:proofErr w:type="spellStart"/>
      <w:r w:rsidR="005A74FA" w:rsidRPr="00843FAF">
        <w:rPr>
          <w:i/>
        </w:rPr>
        <w:t>monocytogenes</w:t>
      </w:r>
      <w:proofErr w:type="spellEnd"/>
      <w:r w:rsidR="005A74FA">
        <w:t xml:space="preserve"> (PCR </w:t>
      </w:r>
      <w:proofErr w:type="spellStart"/>
      <w:r w:rsidR="005A74FA" w:rsidRPr="00785FE0">
        <w:rPr>
          <w:i/>
        </w:rPr>
        <w:t>plca</w:t>
      </w:r>
      <w:proofErr w:type="spellEnd"/>
      <w:r w:rsidR="005A74FA">
        <w:t xml:space="preserve">). Ces contrôles attestent du bon fonctionnement de la PCR sur l’extrait d’ADN, (ii) des contrôles internes permettant de vérifier que chaque PCR est effective, ils consistent en un regroupement des ADN des souches du panel de référence (section 2.1.3) dans une solution de </w:t>
      </w:r>
      <w:r w:rsidR="00A57196">
        <w:t>28</w:t>
      </w:r>
      <w:r w:rsidR="005A74FA">
        <w:t xml:space="preserve"> ADN à une concentration individuelle de 1 </w:t>
      </w:r>
      <w:proofErr w:type="spellStart"/>
      <w:r w:rsidR="005A74FA">
        <w:t>ng</w:t>
      </w:r>
      <w:proofErr w:type="spellEnd"/>
      <w:r w:rsidR="005A74FA">
        <w:t>/µL</w:t>
      </w:r>
      <w:r w:rsidR="00A57196">
        <w:t xml:space="preserve"> et deux ADN de souches CC14-ST91 et CC101 testés à part (section 2.1.3)</w:t>
      </w:r>
      <w:r w:rsidR="005A74FA">
        <w:t xml:space="preserve">. (iii) Enfin </w:t>
      </w:r>
      <w:proofErr w:type="spellStart"/>
      <w:r w:rsidR="005A74FA">
        <w:t>Geno</w:t>
      </w:r>
      <w:r w:rsidR="005A74FA" w:rsidRPr="0015581C">
        <w:rPr>
          <w:i/>
        </w:rPr>
        <w:t>Listeria</w:t>
      </w:r>
      <w:proofErr w:type="spellEnd"/>
      <w:r w:rsidR="005A74FA">
        <w:t xml:space="preserve"> intègre les 6 couples de sondes et d’amorces de </w:t>
      </w:r>
      <w:proofErr w:type="spellStart"/>
      <w:r w:rsidR="005A74FA">
        <w:t>sérotypage</w:t>
      </w:r>
      <w:proofErr w:type="spellEnd"/>
      <w:r w:rsidR="005A74FA">
        <w:t xml:space="preserve"> moléculaire développée par</w:t>
      </w:r>
      <w:r w:rsidR="00F06EB5">
        <w:t xml:space="preserve"> </w:t>
      </w:r>
      <w:r w:rsidR="00F06EB5">
        <w:fldChar w:fldCharType="begin"/>
      </w:r>
      <w:r w:rsidR="00F06EB5">
        <w:instrText xml:space="preserve"> ADDIN EN.CITE &lt;EndNote&gt;&lt;Cite&gt;&lt;Author&gt;Vitullo&lt;/Author&gt;&lt;Year&gt;2013&lt;/Year&gt;&lt;RecNum&gt;1292&lt;/RecNum&gt;&lt;DisplayText&gt;(Vitullo&lt;style face="italic"&gt; et al.&lt;/style&gt;, 2013)&lt;/DisplayText&gt;&lt;record&gt;&lt;rec-number&gt;1292&lt;/rec-number&gt;&lt;foreign-keys&gt;&lt;key app="EN" db-id="xrawss2d999aevez25svdvwj909sxsvw00x2" timestamp="1621414727"&gt;1292&lt;/key&gt;&lt;/foreign-keys&gt;&lt;ref-type name="Journal Article"&gt;17&lt;/ref-type&gt;&lt;contributors&gt;&lt;authors&gt;&lt;author&gt;Vitullo, Monia&lt;/author&gt;&lt;author&gt;Grant, Kathie Ann&lt;/author&gt;&lt;author&gt;Sammarco, Michela Lucia&lt;/author&gt;&lt;author&gt;Tamburro, Manuela&lt;/author&gt;&lt;author&gt;Ripabelli, Giancarlo&lt;/author&gt;&lt;author&gt;Amar, Corinne Francoise Laurence&lt;/author&gt;&lt;/authors&gt;&lt;/contributors&gt;&lt;titles&gt;&lt;title&gt;Real-time PCRs assay for serogrouping Listeria monocytogenes and differentiation from other Listeria spp&lt;/title&gt;&lt;secondary-title&gt;Molecular and cellular probes&lt;/secondary-title&gt;&lt;/titles&gt;&lt;periodical&gt;&lt;full-title&gt;Molecular and cellular probes&lt;/full-title&gt;&lt;/periodical&gt;&lt;pages&gt;68-70&lt;/pages&gt;&lt;volume&gt;27&lt;/volume&gt;&lt;number&gt;1&lt;/number&gt;&lt;dates&gt;&lt;year&gt;2013&lt;/year&gt;&lt;/dates&gt;&lt;isbn&gt;0890-8508&lt;/isbn&gt;&lt;urls&gt;&lt;/urls&gt;&lt;/record&gt;&lt;/Cite&gt;&lt;/EndNote&gt;</w:instrText>
      </w:r>
      <w:r w:rsidR="00F06EB5">
        <w:fldChar w:fldCharType="separate"/>
      </w:r>
      <w:r w:rsidR="00F06EB5">
        <w:rPr>
          <w:noProof/>
        </w:rPr>
        <w:t>Vitullo</w:t>
      </w:r>
      <w:r w:rsidR="00F06EB5" w:rsidRPr="00F06EB5">
        <w:rPr>
          <w:i/>
          <w:noProof/>
        </w:rPr>
        <w:t xml:space="preserve"> et al.</w:t>
      </w:r>
      <w:r w:rsidR="00F06EB5">
        <w:rPr>
          <w:noProof/>
        </w:rPr>
        <w:t xml:space="preserve"> </w:t>
      </w:r>
      <w:r>
        <w:rPr>
          <w:noProof/>
        </w:rPr>
        <w:t>(</w:t>
      </w:r>
      <w:r w:rsidR="00F06EB5">
        <w:rPr>
          <w:noProof/>
        </w:rPr>
        <w:t>2013)</w:t>
      </w:r>
      <w:r w:rsidR="00F06EB5">
        <w:fldChar w:fldCharType="end"/>
      </w:r>
      <w:r w:rsidR="005A74FA">
        <w:t xml:space="preserve">. Ces amorces permettent de déterminer le </w:t>
      </w:r>
      <w:proofErr w:type="spellStart"/>
      <w:r w:rsidR="005A74FA">
        <w:t>sérotype</w:t>
      </w:r>
      <w:proofErr w:type="spellEnd"/>
      <w:r w:rsidR="005A74FA">
        <w:t xml:space="preserve"> moléculaire en parallèle des </w:t>
      </w:r>
      <w:proofErr w:type="spellStart"/>
      <w:r w:rsidR="005A74FA">
        <w:t>CC</w:t>
      </w:r>
      <w:r w:rsidR="001A51DA">
        <w:t>s</w:t>
      </w:r>
      <w:proofErr w:type="spellEnd"/>
      <w:r w:rsidR="005A74FA">
        <w:t xml:space="preserve"> des souches testées. Cette analyse parallèle permet de vérifier la consistance des analyses puisqu’une concordance existe entre les </w:t>
      </w:r>
      <w:proofErr w:type="spellStart"/>
      <w:r w:rsidR="005A74FA">
        <w:t>CC</w:t>
      </w:r>
      <w:r w:rsidR="001A51DA">
        <w:t>s</w:t>
      </w:r>
      <w:proofErr w:type="spellEnd"/>
      <w:r w:rsidR="005A74FA">
        <w:t xml:space="preserve"> et les</w:t>
      </w:r>
      <w:r w:rsidR="00885DBA">
        <w:t xml:space="preserve"> </w:t>
      </w:r>
      <w:proofErr w:type="spellStart"/>
      <w:r w:rsidR="00885DBA">
        <w:t>sérotypes</w:t>
      </w:r>
      <w:proofErr w:type="spellEnd"/>
      <w:r w:rsidR="00885DBA">
        <w:t xml:space="preserve"> des souches (</w:t>
      </w:r>
      <w:r w:rsidR="00A33335">
        <w:fldChar w:fldCharType="begin"/>
      </w:r>
      <w:r w:rsidR="00A33335">
        <w:instrText xml:space="preserve"> REF _Ref72339466 \h </w:instrText>
      </w:r>
      <w:r w:rsidR="00A33335">
        <w:fldChar w:fldCharType="separate"/>
      </w:r>
      <w:r w:rsidR="00A33335">
        <w:t xml:space="preserve">Tableau </w:t>
      </w:r>
      <w:r w:rsidR="00A33335">
        <w:rPr>
          <w:noProof/>
        </w:rPr>
        <w:t>6</w:t>
      </w:r>
      <w:r w:rsidR="00A33335">
        <w:fldChar w:fldCharType="end"/>
      </w:r>
      <w:r w:rsidR="005A74FA">
        <w:t>).</w:t>
      </w:r>
    </w:p>
    <w:p w14:paraId="6BA0E5B1" w14:textId="58683F95" w:rsidR="005A74FA" w:rsidRDefault="005A74FA" w:rsidP="005A74FA">
      <w:r>
        <w:t xml:space="preserve">Un seuil (Cycle </w:t>
      </w:r>
      <w:proofErr w:type="spellStart"/>
      <w:r>
        <w:t>threshold</w:t>
      </w:r>
      <w:proofErr w:type="spellEnd"/>
      <w:r>
        <w:t xml:space="preserve">, Ct) de 25 a été fixé pour considérer une réaction de PCR en temps réel comme positives. </w:t>
      </w:r>
      <w:proofErr w:type="spellStart"/>
      <w:r w:rsidR="00455EBE">
        <w:t>Au</w:t>
      </w:r>
      <w:r>
        <w:t xml:space="preserve"> dessus</w:t>
      </w:r>
      <w:proofErr w:type="spellEnd"/>
      <w:r>
        <w:t xml:space="preserve"> d’un Ct de 25, et selon les résultats des contrôles, l’analyse sera répétée une seconde fois.</w:t>
      </w:r>
    </w:p>
    <w:p w14:paraId="54137019" w14:textId="2136F7FA" w:rsidR="00A33335" w:rsidRDefault="00A33335" w:rsidP="005A74FA"/>
    <w:p w14:paraId="54D3F076" w14:textId="38A68E7B" w:rsidR="00A33335" w:rsidRDefault="00A33335" w:rsidP="005A74FA"/>
    <w:p w14:paraId="68B4D587" w14:textId="51B990FE" w:rsidR="00A33335" w:rsidRDefault="00A33335" w:rsidP="005A74FA"/>
    <w:p w14:paraId="56FC51DD" w14:textId="78790568" w:rsidR="00A33335" w:rsidRDefault="00A33335" w:rsidP="005A74FA"/>
    <w:p w14:paraId="55D15693" w14:textId="267C75EC" w:rsidR="00A33335" w:rsidRDefault="00A33335" w:rsidP="005A74FA"/>
    <w:p w14:paraId="0FC49330" w14:textId="7FB5A68B" w:rsidR="00A33335" w:rsidRDefault="00A33335" w:rsidP="005A74FA"/>
    <w:p w14:paraId="76C32E62" w14:textId="77777777" w:rsidR="00A33335" w:rsidRDefault="00A33335" w:rsidP="005A74FA"/>
    <w:p w14:paraId="00C6EF25" w14:textId="009E3E6D" w:rsidR="00A33335" w:rsidRDefault="00A33335" w:rsidP="005A74FA"/>
    <w:p w14:paraId="51CD93DE" w14:textId="5AEDFB29" w:rsidR="00A33335" w:rsidRDefault="00A33335" w:rsidP="005A74FA"/>
    <w:p w14:paraId="76C94050" w14:textId="77777777" w:rsidR="00A33335" w:rsidRDefault="00A33335" w:rsidP="005A74FA"/>
    <w:p w14:paraId="12903173" w14:textId="1FC2EC27" w:rsidR="00885DBA" w:rsidRDefault="00A33335" w:rsidP="00A33335">
      <w:pPr>
        <w:pStyle w:val="Lgende"/>
      </w:pPr>
      <w:bookmarkStart w:id="58" w:name="_Ref72339466"/>
      <w:bookmarkStart w:id="59" w:name="_Toc73027716"/>
      <w:r>
        <w:t xml:space="preserve">Tableau </w:t>
      </w:r>
      <w:r w:rsidR="00657B21">
        <w:fldChar w:fldCharType="begin"/>
      </w:r>
      <w:r w:rsidR="00657B21">
        <w:instrText xml:space="preserve"> SEQ Tableau \* ARABIC </w:instrText>
      </w:r>
      <w:r w:rsidR="00657B21">
        <w:fldChar w:fldCharType="separate"/>
      </w:r>
      <w:r w:rsidR="003E5038">
        <w:rPr>
          <w:noProof/>
        </w:rPr>
        <w:t>6</w:t>
      </w:r>
      <w:r w:rsidR="00657B21">
        <w:rPr>
          <w:noProof/>
        </w:rPr>
        <w:fldChar w:fldCharType="end"/>
      </w:r>
      <w:bookmarkEnd w:id="58"/>
      <w:r>
        <w:t xml:space="preserve"> </w:t>
      </w:r>
      <w:r w:rsidR="00885DBA">
        <w:t xml:space="preserve">: Correspondance entre </w:t>
      </w:r>
      <w:r w:rsidR="00455EBE">
        <w:t xml:space="preserve">les </w:t>
      </w:r>
      <w:r w:rsidR="00885DBA">
        <w:t xml:space="preserve">complexes clonaux </w:t>
      </w:r>
      <w:r w:rsidR="00455EBE">
        <w:t xml:space="preserve">(CC) </w:t>
      </w:r>
      <w:r w:rsidR="00885DBA">
        <w:t xml:space="preserve">de MLST et </w:t>
      </w:r>
      <w:r w:rsidR="00455EBE">
        <w:t xml:space="preserve">les </w:t>
      </w:r>
      <w:proofErr w:type="spellStart"/>
      <w:r w:rsidR="00885DBA">
        <w:t>sérotypes</w:t>
      </w:r>
      <w:proofErr w:type="spellEnd"/>
      <w:r w:rsidR="00885DBA">
        <w:t xml:space="preserve"> moléculaires de </w:t>
      </w:r>
      <w:r w:rsidR="00885DBA" w:rsidRPr="00885DBA">
        <w:rPr>
          <w:i/>
        </w:rPr>
        <w:t xml:space="preserve">L. </w:t>
      </w:r>
      <w:proofErr w:type="spellStart"/>
      <w:r w:rsidR="00885DBA" w:rsidRPr="00885DBA">
        <w:rPr>
          <w:i/>
        </w:rPr>
        <w:t>monocytogenes</w:t>
      </w:r>
      <w:bookmarkEnd w:id="59"/>
      <w:proofErr w:type="spellEnd"/>
    </w:p>
    <w:p w14:paraId="5D9B92D1" w14:textId="3F06D3DA" w:rsidR="00885DBA" w:rsidRDefault="00885DBA" w:rsidP="005A74FA">
      <w:r w:rsidRPr="00A60DA7">
        <w:rPr>
          <w:noProof/>
        </w:rPr>
        <w:lastRenderedPageBreak/>
        <w:drawing>
          <wp:inline distT="0" distB="0" distL="0" distR="0" wp14:anchorId="03FA2BE3" wp14:editId="2F726734">
            <wp:extent cx="5760720" cy="512708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5127080"/>
                    </a:xfrm>
                    <a:prstGeom prst="rect">
                      <a:avLst/>
                    </a:prstGeom>
                    <a:noFill/>
                    <a:ln>
                      <a:noFill/>
                    </a:ln>
                  </pic:spPr>
                </pic:pic>
              </a:graphicData>
            </a:graphic>
          </wp:inline>
        </w:drawing>
      </w:r>
    </w:p>
    <w:p w14:paraId="2F32B154" w14:textId="7C67E902" w:rsidR="005A74FA" w:rsidRDefault="005A74FA" w:rsidP="00FA4D29">
      <w:pPr>
        <w:pStyle w:val="Titre6"/>
      </w:pPr>
      <w:r>
        <w:t xml:space="preserve">Méthode </w:t>
      </w:r>
      <w:r w:rsidR="00455EBE">
        <w:t xml:space="preserve">PCR en temps réel </w:t>
      </w:r>
      <w:proofErr w:type="spellStart"/>
      <w:r>
        <w:t>Geno</w:t>
      </w:r>
      <w:r w:rsidRPr="000E504C">
        <w:t>Listeria</w:t>
      </w:r>
      <w:proofErr w:type="spellEnd"/>
      <w:r>
        <w:t xml:space="preserve"> triplex</w:t>
      </w:r>
    </w:p>
    <w:p w14:paraId="13160ADB" w14:textId="69F8CA8D" w:rsidR="005A74FA" w:rsidRDefault="005A74FA" w:rsidP="005A74FA">
      <w:r w:rsidRPr="006E6F89">
        <w:t>L’analyse par PCR</w:t>
      </w:r>
      <w:r>
        <w:t xml:space="preserve"> en temps réel</w:t>
      </w:r>
      <w:r w:rsidRPr="006E6F89">
        <w:t xml:space="preserve"> triplex, implique de commander les </w:t>
      </w:r>
      <w:r>
        <w:t>mêmes amo</w:t>
      </w:r>
      <w:r w:rsidRPr="006E6F89">
        <w:t xml:space="preserve">rces </w:t>
      </w:r>
      <w:proofErr w:type="spellStart"/>
      <w:r>
        <w:t>Taqman</w:t>
      </w:r>
      <w:proofErr w:type="spellEnd"/>
      <w:r w:rsidRPr="00843FAF">
        <w:rPr>
          <w:rFonts w:ascii="Arial Narrow" w:hAnsi="Arial Narrow"/>
          <w:vertAlign w:val="superscript"/>
        </w:rPr>
        <w:t>®</w:t>
      </w:r>
      <w:r>
        <w:t xml:space="preserve"> que celles utilisées pour </w:t>
      </w:r>
      <w:r w:rsidR="00455EBE">
        <w:t xml:space="preserve">la méthode PCR en temps réel </w:t>
      </w:r>
      <w:proofErr w:type="spellStart"/>
      <w:r>
        <w:t>Geno</w:t>
      </w:r>
      <w:r w:rsidRPr="0023217B">
        <w:rPr>
          <w:i/>
        </w:rPr>
        <w:t>Listeria</w:t>
      </w:r>
      <w:proofErr w:type="spellEnd"/>
      <w:r>
        <w:t xml:space="preserve"> </w:t>
      </w:r>
      <w:r w:rsidR="00455EBE">
        <w:t xml:space="preserve">à </w:t>
      </w:r>
      <w:r>
        <w:t xml:space="preserve">haut débit mais </w:t>
      </w:r>
      <w:r w:rsidRPr="006E6F89">
        <w:t xml:space="preserve">avec trois </w:t>
      </w:r>
      <w:proofErr w:type="spellStart"/>
      <w:r w:rsidRPr="006E6F89">
        <w:t>fluorophores</w:t>
      </w:r>
      <w:proofErr w:type="spellEnd"/>
      <w:r w:rsidRPr="006E6F89">
        <w:t xml:space="preserve"> différents (</w:t>
      </w:r>
      <w:r>
        <w:t>FAM VIC et Cy5, tel que testé</w:t>
      </w:r>
      <w:r w:rsidR="00455EBE">
        <w:t>s</w:t>
      </w:r>
      <w:r>
        <w:t xml:space="preserve"> par l’An</w:t>
      </w:r>
      <w:r w:rsidR="00A33335">
        <w:t>ses</w:t>
      </w:r>
      <w:r w:rsidR="00455EBE">
        <w:t>)</w:t>
      </w:r>
      <w:r w:rsidR="00A33335">
        <w:t xml:space="preserve"> (</w:t>
      </w:r>
      <w:r w:rsidR="00A33335">
        <w:fldChar w:fldCharType="begin"/>
      </w:r>
      <w:r w:rsidR="00A33335">
        <w:instrText xml:space="preserve"> REF _Ref72339516 \h </w:instrText>
      </w:r>
      <w:r w:rsidR="00A33335">
        <w:fldChar w:fldCharType="separate"/>
      </w:r>
      <w:r w:rsidR="00A33335">
        <w:t xml:space="preserve">Tableau </w:t>
      </w:r>
      <w:r w:rsidR="00A33335">
        <w:rPr>
          <w:noProof/>
        </w:rPr>
        <w:t>7</w:t>
      </w:r>
      <w:r w:rsidR="00A33335">
        <w:fldChar w:fldCharType="end"/>
      </w:r>
      <w:r>
        <w:t xml:space="preserve">). Les PCR </w:t>
      </w:r>
      <w:r w:rsidR="00455EBE">
        <w:t>en temps réel</w:t>
      </w:r>
      <w:r w:rsidR="00455EBE" w:rsidRPr="006E6F89">
        <w:t xml:space="preserve"> triplex</w:t>
      </w:r>
      <w:r w:rsidR="00455EBE">
        <w:t xml:space="preserve"> </w:t>
      </w:r>
      <w:r>
        <w:t xml:space="preserve">ont été optimisées lors de leur élaboration pour fonctionner en triplex sans former de structures secondaires (sonde-amorces, sonde-sonde ou amorce-amorce). Les mêmes paramètres que ceux appliqués en haut débit (section 2.3.1) sont utilisés avec un </w:t>
      </w:r>
      <w:proofErr w:type="spellStart"/>
      <w:r>
        <w:t>thermocycleur</w:t>
      </w:r>
      <w:proofErr w:type="spellEnd"/>
      <w:r>
        <w:t xml:space="preserve"> conventionnel. Les test d’optimisation ont été réalisés sur un </w:t>
      </w:r>
      <w:proofErr w:type="spellStart"/>
      <w:r>
        <w:t>thermocycleur</w:t>
      </w:r>
      <w:proofErr w:type="spellEnd"/>
      <w:r>
        <w:t xml:space="preserve"> Roche </w:t>
      </w:r>
      <w:proofErr w:type="spellStart"/>
      <w:r>
        <w:t>LightCycler</w:t>
      </w:r>
      <w:proofErr w:type="spellEnd"/>
      <w:r>
        <w:t xml:space="preserve"> 480 (Roche Diagnostics, Meylan, France).</w:t>
      </w:r>
    </w:p>
    <w:p w14:paraId="087F7EA2" w14:textId="6ACB608B" w:rsidR="00455EBE" w:rsidRDefault="00455EBE" w:rsidP="005A74FA"/>
    <w:p w14:paraId="1743B334" w14:textId="40E52037" w:rsidR="00455EBE" w:rsidRDefault="00455EBE" w:rsidP="005A74FA"/>
    <w:p w14:paraId="3111AD42" w14:textId="1940E96C" w:rsidR="00455EBE" w:rsidRDefault="00455EBE" w:rsidP="005A74FA"/>
    <w:p w14:paraId="6A4780BD" w14:textId="77777777" w:rsidR="00455EBE" w:rsidRDefault="00455EBE" w:rsidP="005A74FA"/>
    <w:p w14:paraId="4FAB333F" w14:textId="085E49E7" w:rsidR="005A74FA" w:rsidRDefault="00A33335" w:rsidP="00A33335">
      <w:pPr>
        <w:pStyle w:val="Lgende"/>
      </w:pPr>
      <w:bookmarkStart w:id="60" w:name="_Ref72339516"/>
      <w:bookmarkStart w:id="61" w:name="_Toc73027717"/>
      <w:r>
        <w:t xml:space="preserve">Tableau </w:t>
      </w:r>
      <w:r w:rsidR="00657B21">
        <w:fldChar w:fldCharType="begin"/>
      </w:r>
      <w:r w:rsidR="00657B21">
        <w:instrText xml:space="preserve"> SEQ Tableau \* ARABIC </w:instrText>
      </w:r>
      <w:r w:rsidR="00657B21">
        <w:fldChar w:fldCharType="separate"/>
      </w:r>
      <w:r w:rsidR="003E5038">
        <w:rPr>
          <w:noProof/>
        </w:rPr>
        <w:t>7</w:t>
      </w:r>
      <w:r w:rsidR="00657B21">
        <w:rPr>
          <w:noProof/>
        </w:rPr>
        <w:fldChar w:fldCharType="end"/>
      </w:r>
      <w:bookmarkEnd w:id="60"/>
      <w:r w:rsidR="005A74FA">
        <w:t>: Association des couples de sondes et d’amorces au format triplex</w:t>
      </w:r>
      <w:bookmarkEnd w:id="61"/>
    </w:p>
    <w:p w14:paraId="75D9E0DC" w14:textId="77777777" w:rsidR="005A74FA" w:rsidRDefault="005A74FA" w:rsidP="005A74FA">
      <w:pPr>
        <w:jc w:val="center"/>
      </w:pPr>
      <w:r w:rsidRPr="00E35038">
        <w:rPr>
          <w:noProof/>
        </w:rPr>
        <w:lastRenderedPageBreak/>
        <w:drawing>
          <wp:inline distT="0" distB="0" distL="0" distR="0" wp14:anchorId="4294441E" wp14:editId="4D0617D4">
            <wp:extent cx="5554980" cy="2385060"/>
            <wp:effectExtent l="0" t="0" r="762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54980" cy="2385060"/>
                    </a:xfrm>
                    <a:prstGeom prst="rect">
                      <a:avLst/>
                    </a:prstGeom>
                    <a:noFill/>
                    <a:ln>
                      <a:noFill/>
                    </a:ln>
                  </pic:spPr>
                </pic:pic>
              </a:graphicData>
            </a:graphic>
          </wp:inline>
        </w:drawing>
      </w:r>
    </w:p>
    <w:p w14:paraId="5E685C8B" w14:textId="663DA485" w:rsidR="00F02CA6" w:rsidRDefault="00F02CA6" w:rsidP="00FC0CD4">
      <w:pPr>
        <w:pStyle w:val="Titre3"/>
        <w:spacing w:before="100" w:beforeAutospacing="1" w:after="100" w:afterAutospacing="1"/>
        <w:rPr>
          <w:szCs w:val="24"/>
        </w:rPr>
      </w:pPr>
      <w:bookmarkStart w:id="62" w:name="_Toc73027864"/>
      <w:r w:rsidRPr="00972912">
        <w:rPr>
          <w:szCs w:val="24"/>
        </w:rPr>
        <w:t>Résultats</w:t>
      </w:r>
      <w:bookmarkEnd w:id="55"/>
      <w:bookmarkEnd w:id="56"/>
      <w:bookmarkEnd w:id="57"/>
      <w:bookmarkEnd w:id="62"/>
      <w:r w:rsidRPr="00972912">
        <w:rPr>
          <w:szCs w:val="24"/>
        </w:rPr>
        <w:t xml:space="preserve"> </w:t>
      </w:r>
    </w:p>
    <w:p w14:paraId="76F130F0" w14:textId="53E5322E" w:rsidR="005A74FA" w:rsidRDefault="005A74FA" w:rsidP="00FA4D29">
      <w:pPr>
        <w:pStyle w:val="Titre4"/>
      </w:pPr>
      <w:r>
        <w:t>Identification des CC ciblés par la méthode</w:t>
      </w:r>
      <w:r w:rsidR="00455EBE">
        <w:t xml:space="preserve"> de PCR en temps réel</w:t>
      </w:r>
    </w:p>
    <w:p w14:paraId="2025B418" w14:textId="09DF1D71" w:rsidR="005A74FA" w:rsidRDefault="005A74FA" w:rsidP="005A74FA">
      <w:pPr>
        <w:rPr>
          <w:iCs/>
        </w:rPr>
      </w:pPr>
      <w:r w:rsidRPr="00D21D35">
        <w:rPr>
          <w:iCs/>
        </w:rPr>
        <w:t xml:space="preserve">Pour appréhender la diversité des </w:t>
      </w:r>
      <w:proofErr w:type="spellStart"/>
      <w:r w:rsidRPr="00D21D35">
        <w:rPr>
          <w:iCs/>
        </w:rPr>
        <w:t>CCs</w:t>
      </w:r>
      <w:proofErr w:type="spellEnd"/>
      <w:r w:rsidRPr="00D21D35">
        <w:rPr>
          <w:iCs/>
        </w:rPr>
        <w:t xml:space="preserve"> des souches circulant en Europe dans les aliments, </w:t>
      </w:r>
      <w:r>
        <w:rPr>
          <w:iCs/>
        </w:rPr>
        <w:t>les données de typage MLST de</w:t>
      </w:r>
      <w:r w:rsidRPr="00D21D35">
        <w:rPr>
          <w:iCs/>
        </w:rPr>
        <w:t xml:space="preserve"> 6727 souches </w:t>
      </w:r>
      <w:r>
        <w:rPr>
          <w:iCs/>
        </w:rPr>
        <w:t>ont été regroupées. Elles proviennent des</w:t>
      </w:r>
      <w:r w:rsidRPr="00D21D35">
        <w:rPr>
          <w:iCs/>
        </w:rPr>
        <w:t xml:space="preserve"> données de deux études nationales françaises</w:t>
      </w:r>
      <w:r w:rsidR="00F06EB5">
        <w:rPr>
          <w:iCs/>
        </w:rPr>
        <w:t xml:space="preserve"> </w:t>
      </w:r>
      <w:r w:rsidR="00F06EB5">
        <w:rPr>
          <w:iCs/>
        </w:rPr>
        <w:fldChar w:fldCharType="begin">
          <w:fldData xml:space="preserve">PEVuZE5vdGU+PENpdGU+PEF1dGhvcj5NYXVyeTwvQXV0aG9yPjxZZWFyPjIwMTY8L1llYXI+PFJl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</w:fldData>
        </w:fldChar>
      </w:r>
      <w:r w:rsidR="00F06EB5">
        <w:rPr>
          <w:iCs/>
        </w:rPr>
        <w:instrText xml:space="preserve"> ADDIN EN.CITE </w:instrText>
      </w:r>
      <w:r w:rsidR="00F06EB5">
        <w:rPr>
          <w:iCs/>
        </w:rPr>
        <w:fldChar w:fldCharType="begin">
          <w:fldData xml:space="preserve">PEVuZE5vdGU+PENpdGU+PEF1dGhvcj5NYXVyeTwvQXV0aG9yPjxZZWFyPjIwMTY8L1llYXI+PFJl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</w:fldData>
        </w:fldChar>
      </w:r>
      <w:r w:rsidR="00F06EB5">
        <w:rPr>
          <w:iCs/>
        </w:rPr>
        <w:instrText xml:space="preserve"> ADDIN EN.CITE.DATA </w:instrText>
      </w:r>
      <w:r w:rsidR="00F06EB5">
        <w:rPr>
          <w:iCs/>
        </w:rPr>
      </w:r>
      <w:r w:rsidR="00F06EB5">
        <w:rPr>
          <w:iCs/>
        </w:rPr>
        <w:fldChar w:fldCharType="end"/>
      </w:r>
      <w:r w:rsidR="00F06EB5">
        <w:rPr>
          <w:iCs/>
        </w:rPr>
      </w:r>
      <w:r w:rsidR="00F06EB5">
        <w:rPr>
          <w:iCs/>
        </w:rPr>
        <w:fldChar w:fldCharType="separate"/>
      </w:r>
      <w:r w:rsidR="00F06EB5">
        <w:rPr>
          <w:iCs/>
          <w:noProof/>
        </w:rPr>
        <w:t>(Maury</w:t>
      </w:r>
      <w:r w:rsidR="00F06EB5" w:rsidRPr="00F06EB5">
        <w:rPr>
          <w:i/>
          <w:iCs/>
          <w:noProof/>
        </w:rPr>
        <w:t xml:space="preserve"> et al.</w:t>
      </w:r>
      <w:r w:rsidR="00F06EB5">
        <w:rPr>
          <w:iCs/>
          <w:noProof/>
        </w:rPr>
        <w:t>, 2016, Félix</w:t>
      </w:r>
      <w:r w:rsidR="00F06EB5" w:rsidRPr="00F06EB5">
        <w:rPr>
          <w:i/>
          <w:iCs/>
          <w:noProof/>
        </w:rPr>
        <w:t xml:space="preserve"> et al.</w:t>
      </w:r>
      <w:r w:rsidR="00F06EB5">
        <w:rPr>
          <w:iCs/>
          <w:noProof/>
        </w:rPr>
        <w:t>, 2018)</w:t>
      </w:r>
      <w:r w:rsidR="00F06EB5">
        <w:rPr>
          <w:iCs/>
        </w:rPr>
        <w:fldChar w:fldCharType="end"/>
      </w:r>
      <w:r w:rsidRPr="00D21D35">
        <w:rPr>
          <w:iCs/>
        </w:rPr>
        <w:t xml:space="preserve"> et deux études européennes</w:t>
      </w:r>
      <w:r w:rsidR="00F06EB5">
        <w:rPr>
          <w:iCs/>
        </w:rPr>
        <w:t xml:space="preserve"> </w:t>
      </w:r>
      <w:r w:rsidR="00F06EB5">
        <w:rPr>
          <w:iCs/>
        </w:rPr>
        <w:fldChar w:fldCharType="begin"/>
      </w:r>
      <w:r w:rsidR="00F06EB5">
        <w:rPr>
          <w:iCs/>
        </w:rPr>
        <w:instrText xml:space="preserve"> ADDIN EN.CITE &lt;EndNote&gt;&lt;Cite&gt;&lt;Author&gt;Nielsen&lt;/Author&gt;&lt;Year&gt;2017&lt;/Year&gt;&lt;RecNum&gt;1268&lt;/RecNum&gt;&lt;DisplayText&gt;(Nielsen&lt;style face="italic"&gt; et al.&lt;/style&gt;, 2017, Félix, 2021 (In press))&lt;/DisplayText&gt;&lt;record&gt;&lt;rec-number&gt;1268&lt;/rec-number&gt;&lt;foreign-keys&gt;&lt;key app="EN" db-id="xrawss2d999aevez25svdvwj909sxsvw00x2" timestamp="1619671616"&gt;1268&lt;/key&gt;&lt;/foreign-keys&gt;&lt;ref-type name="Journal Article"&gt;17&lt;/ref-type&gt;&lt;contributors&gt;&lt;authors&gt;&lt;author&gt;Nielsen, Eva Møller&lt;/author&gt;&lt;author&gt;Björkman, Jonas T&lt;/author&gt;&lt;author&gt;Kiil, Kristoffer&lt;/author&gt;&lt;author&gt;Grant, Kathie&lt;/author&gt;&lt;author&gt;Dallman, Tim&lt;/author&gt;&lt;author&gt;Painset, Anaïs&lt;/author&gt;&lt;author&gt;Amar, Corinne&lt;/author&gt;&lt;author&gt;Roussel, Sophie&lt;/author&gt;&lt;author&gt;Guillier, Laurent&lt;/author&gt;&lt;author&gt;Félix, Benjamin&lt;/author&gt;&lt;/authors&gt;&lt;/contributors&gt;&lt;titles&gt;&lt;title&gt;Closing gaps for performing a risk assessment on Listeria monocytogenes in ready‐to‐eat (RTE) foods: activity 3, the comparison of isolates from different compartments along the food chain, and from humans using whole genome sequencing (WGS) analysis&lt;/title&gt;&lt;secondary-title&gt;EFSA Supporting Publications&lt;/secondary-title&gt;&lt;/titles&gt;&lt;periodical&gt;&lt;full-title&gt;EFSA Supporting Publications&lt;/full-title&gt;&lt;/periodical&gt;&lt;pages&gt;1151E&lt;/pages&gt;&lt;volume&gt;14&lt;/volume&gt;&lt;number&gt;2&lt;/number&gt;&lt;dates&gt;&lt;year&gt;2017&lt;/year&gt;&lt;/dates&gt;&lt;isbn&gt;2397-8325&lt;/isbn&gt;&lt;urls&gt;&lt;/urls&gt;&lt;/record&gt;&lt;/Cite&gt;&lt;Cite&gt;&lt;Author&gt;Félix&lt;/Author&gt;&lt;Year&gt;2021 (In press)&lt;/Year&gt;&lt;RecNum&gt;1282&lt;/RecNum&gt;&lt;record&gt;&lt;rec-number&gt;1282&lt;/rec-number&gt;&lt;foreign-keys&gt;&lt;key app="EN" db-id="xrawss2d999aevez25svdvwj909sxsvw00x2" timestamp="1621414467"&gt;1282&lt;/key&gt;&lt;/foreign-keys&gt;&lt;ref-type name="Journal Article"&gt;17&lt;/ref-type&gt;&lt;contributors&gt;&lt;authors&gt;&lt;author&gt;Félix, B&lt;/author&gt;&lt;/authors&gt;&lt;/contributors&gt;&lt;titles&gt;&lt;title&gt;A European-wide dataset to uncover adaptives traits of Listeria monocytogenes to diverse ecological niches.&lt;/title&gt;&lt;secondary-title&gt; Scientific data&lt;/secondary-title&gt;&lt;/titles&gt;&lt;dates&gt;&lt;year&gt;2021 (In press)&lt;/year&gt;&lt;/dates&gt;&lt;urls&gt;&lt;/urls&gt;&lt;/record&gt;&lt;/Cite&gt;&lt;/EndNote&gt;</w:instrText>
      </w:r>
      <w:r w:rsidR="00F06EB5">
        <w:rPr>
          <w:iCs/>
        </w:rPr>
        <w:fldChar w:fldCharType="separate"/>
      </w:r>
      <w:r w:rsidR="00F06EB5">
        <w:rPr>
          <w:iCs/>
          <w:noProof/>
        </w:rPr>
        <w:t>(Nielsen</w:t>
      </w:r>
      <w:r w:rsidR="00F06EB5" w:rsidRPr="00F06EB5">
        <w:rPr>
          <w:i/>
          <w:iCs/>
          <w:noProof/>
        </w:rPr>
        <w:t xml:space="preserve"> et al.</w:t>
      </w:r>
      <w:r w:rsidR="00F06EB5">
        <w:rPr>
          <w:iCs/>
          <w:noProof/>
        </w:rPr>
        <w:t>, 2017, Félix, 2021 (In press))</w:t>
      </w:r>
      <w:r w:rsidR="00F06EB5">
        <w:rPr>
          <w:iCs/>
        </w:rPr>
        <w:fldChar w:fldCharType="end"/>
      </w:r>
      <w:r w:rsidRPr="00D21D35">
        <w:rPr>
          <w:iCs/>
        </w:rPr>
        <w:t xml:space="preserve"> portant sur le typage de souches d'origine alimentaire. Les 26 </w:t>
      </w:r>
      <w:proofErr w:type="spellStart"/>
      <w:r w:rsidRPr="00D21D35">
        <w:rPr>
          <w:iCs/>
        </w:rPr>
        <w:t>CCs</w:t>
      </w:r>
      <w:proofErr w:type="spellEnd"/>
      <w:r w:rsidR="00455EBE">
        <w:rPr>
          <w:iCs/>
        </w:rPr>
        <w:t xml:space="preserve"> les plus abondants dans ces quatre</w:t>
      </w:r>
      <w:r w:rsidRPr="00D21D35">
        <w:rPr>
          <w:iCs/>
        </w:rPr>
        <w:t xml:space="preserve"> études ont été sélectionnées comme </w:t>
      </w:r>
      <w:proofErr w:type="spellStart"/>
      <w:r w:rsidRPr="00D21D35">
        <w:rPr>
          <w:iCs/>
        </w:rPr>
        <w:t>CCs</w:t>
      </w:r>
      <w:proofErr w:type="spellEnd"/>
      <w:r w:rsidRPr="00D21D35">
        <w:rPr>
          <w:iCs/>
        </w:rPr>
        <w:t xml:space="preserve"> cibles de la méthode </w:t>
      </w:r>
      <w:r w:rsidR="00455EBE">
        <w:rPr>
          <w:iCs/>
        </w:rPr>
        <w:t xml:space="preserve">PCR en temps réel </w:t>
      </w:r>
      <w:proofErr w:type="spellStart"/>
      <w:r w:rsidRPr="00D21D35">
        <w:rPr>
          <w:iCs/>
        </w:rPr>
        <w:t>Geno</w:t>
      </w:r>
      <w:r w:rsidRPr="00D21D35">
        <w:rPr>
          <w:i/>
          <w:iCs/>
        </w:rPr>
        <w:t>Listeria</w:t>
      </w:r>
      <w:proofErr w:type="spellEnd"/>
      <w:r w:rsidRPr="00D96CDD">
        <w:rPr>
          <w:iCs/>
        </w:rPr>
        <w:t xml:space="preserve"> </w:t>
      </w:r>
      <w:r>
        <w:rPr>
          <w:iCs/>
        </w:rPr>
        <w:t>(</w:t>
      </w:r>
      <w:r w:rsidRPr="00D96CDD">
        <w:rPr>
          <w:iCs/>
        </w:rPr>
        <w:t>CC1, CC2, CC3, CC4, CC5, CC6, CC7, CC8, CC9, CC14, CC18, CC20, CC21, CC26, CC29, CC31, CC37, CC59, CC77, CC87, CC101, CC121</w:t>
      </w:r>
      <w:r>
        <w:rPr>
          <w:iCs/>
        </w:rPr>
        <w:t>, CC155, CC193, CC204, CC224). D</w:t>
      </w:r>
      <w:r w:rsidRPr="00D96CDD">
        <w:rPr>
          <w:iCs/>
        </w:rPr>
        <w:t>eux sous-typ</w:t>
      </w:r>
      <w:r>
        <w:rPr>
          <w:iCs/>
        </w:rPr>
        <w:t>es appartenant au CC14, permette</w:t>
      </w:r>
      <w:r w:rsidRPr="00D96CDD">
        <w:rPr>
          <w:iCs/>
        </w:rPr>
        <w:t xml:space="preserve">nt l'identification respective des ST14-ST206-ST399 </w:t>
      </w:r>
      <w:r>
        <w:rPr>
          <w:iCs/>
        </w:rPr>
        <w:t>et ST91-ST360 au sein de ce CC.</w:t>
      </w:r>
    </w:p>
    <w:p w14:paraId="617AB729" w14:textId="758E10D4" w:rsidR="005A74FA" w:rsidRDefault="005A74FA" w:rsidP="005A74FA">
      <w:pPr>
        <w:rPr>
          <w:iCs/>
        </w:rPr>
      </w:pPr>
      <w:r>
        <w:rPr>
          <w:iCs/>
        </w:rPr>
        <w:t>A la demande de partenaires Européens, trois nouveaux tests de PCR ont été ajoutés pour identifier les souches CC11-ST451, CC19-ST398-802-1308</w:t>
      </w:r>
      <w:r w:rsidRPr="002967B8">
        <w:rPr>
          <w:iCs/>
        </w:rPr>
        <w:t xml:space="preserve"> </w:t>
      </w:r>
      <w:r>
        <w:rPr>
          <w:iCs/>
        </w:rPr>
        <w:t>et CC199. Ces trois groupes génétiques sont plus fréquents dans plusieurs pays d’Europe centrale</w:t>
      </w:r>
      <w:r w:rsidR="00455EBE">
        <w:rPr>
          <w:iCs/>
        </w:rPr>
        <w:t xml:space="preserve"> c</w:t>
      </w:r>
      <w:r>
        <w:rPr>
          <w:iCs/>
        </w:rPr>
        <w:t xml:space="preserve">e qui amène le nombre de </w:t>
      </w:r>
      <w:proofErr w:type="spellStart"/>
      <w:r>
        <w:rPr>
          <w:iCs/>
        </w:rPr>
        <w:t>CCs</w:t>
      </w:r>
      <w:proofErr w:type="spellEnd"/>
      <w:r>
        <w:rPr>
          <w:iCs/>
        </w:rPr>
        <w:t xml:space="preserve"> détectés par la méthode à 29.</w:t>
      </w:r>
    </w:p>
    <w:p w14:paraId="5C1512A1" w14:textId="1E56C41F" w:rsidR="005A74FA" w:rsidRDefault="005A74FA" w:rsidP="00FA4D29">
      <w:pPr>
        <w:pStyle w:val="Titre4"/>
      </w:pPr>
      <w:r>
        <w:t>A</w:t>
      </w:r>
      <w:r w:rsidRPr="005A74FA">
        <w:t xml:space="preserve">nalyse génétique et </w:t>
      </w:r>
      <w:r w:rsidR="00455EBE">
        <w:t>dessin</w:t>
      </w:r>
      <w:r w:rsidRPr="005A74FA">
        <w:t xml:space="preserve"> des tests de PCR en temps réel</w:t>
      </w:r>
    </w:p>
    <w:p w14:paraId="609DC4B7" w14:textId="2BCB16C6" w:rsidR="005A74FA" w:rsidRDefault="005A74FA" w:rsidP="005A74FA">
      <w:r>
        <w:t xml:space="preserve">Les 26 sondes et amorces ciblant 26 des 29 </w:t>
      </w:r>
      <w:proofErr w:type="spellStart"/>
      <w:r>
        <w:t>CC</w:t>
      </w:r>
      <w:r w:rsidR="00455EBE">
        <w:t>s</w:t>
      </w:r>
      <w:proofErr w:type="spellEnd"/>
      <w:r>
        <w:t xml:space="preserve"> cibles : </w:t>
      </w:r>
      <w:r w:rsidRPr="0047761B">
        <w:t xml:space="preserve">CC1, CC2, CC3, CC4, CC5, CC6, CC7, CC8, CC9, </w:t>
      </w:r>
      <w:r>
        <w:t xml:space="preserve">CC11-ST451, </w:t>
      </w:r>
      <w:r w:rsidRPr="0047761B">
        <w:t xml:space="preserve">CC18, CC20, CC21, CC26, CC29, CC31, CC37, CC59, CC77, CC87, CC121, CC155, CC193, </w:t>
      </w:r>
      <w:r>
        <w:t xml:space="preserve">CC199, </w:t>
      </w:r>
      <w:r w:rsidRPr="0047761B">
        <w:t>CC204, CC224</w:t>
      </w:r>
      <w:r>
        <w:t xml:space="preserve"> ont été positionnées au niveau des régions génomiques spécifiques et sensibles de chaque CC identifié à l’aide de l’outil bio-informatique développée à l’ANSES </w:t>
      </w:r>
      <w:r w:rsidR="00A34C4E">
        <w:t xml:space="preserve">lors de précédents projets de recherche </w:t>
      </w:r>
      <w:r>
        <w:t>(section 2.5.1).</w:t>
      </w:r>
    </w:p>
    <w:p w14:paraId="1F9091B3" w14:textId="635AF156" w:rsidR="005A74FA" w:rsidRDefault="005A74FA" w:rsidP="005A74FA">
      <w:r>
        <w:lastRenderedPageBreak/>
        <w:t xml:space="preserve">Les 4 sondes et les amorces ciblant les </w:t>
      </w:r>
      <w:r w:rsidRPr="0047761B">
        <w:t>CC14</w:t>
      </w:r>
      <w:r>
        <w:t xml:space="preserve">-ST14-360-399, CC14-ST91-206, CC19-ST398-802-1308 et CC101 ont été définies via l’approche utilisant le </w:t>
      </w:r>
      <w:proofErr w:type="spellStart"/>
      <w:r>
        <w:t>wgMLST</w:t>
      </w:r>
      <w:proofErr w:type="spellEnd"/>
      <w:r>
        <w:t xml:space="preserve"> (section 2.5.1) puis testées par BLAST contre les 2299 génomes (section 2.1.2). Seuls les couples de sondes et d’amorces ne présentant </w:t>
      </w:r>
      <w:r w:rsidR="00C61BFD">
        <w:t xml:space="preserve">pas de réactions croisées </w:t>
      </w:r>
      <w:r>
        <w:t>(</w:t>
      </w:r>
      <w:proofErr w:type="spellStart"/>
      <w:r>
        <w:t>p.e</w:t>
      </w:r>
      <w:proofErr w:type="spellEnd"/>
      <w:r>
        <w:t xml:space="preserve">. deux tests PCR détectent la même souche), ont été </w:t>
      </w:r>
      <w:r w:rsidR="00C61BFD">
        <w:t>conservés</w:t>
      </w:r>
      <w:r>
        <w:t>. Seuls les couples de sondes et d’amorces ne présentant pas de résultats faux négatifs (</w:t>
      </w:r>
      <w:proofErr w:type="spellStart"/>
      <w:r>
        <w:t>p.e</w:t>
      </w:r>
      <w:proofErr w:type="spellEnd"/>
      <w:r>
        <w:t>. non-détection d’une souche appartenant au CC cible) ont été conservés.</w:t>
      </w:r>
    </w:p>
    <w:p w14:paraId="0832451D" w14:textId="53E183DD" w:rsidR="005A74FA" w:rsidRDefault="005A74FA" w:rsidP="005A74FA">
      <w:r>
        <w:t>Tous les couples de sondes et d’amorces ne répondant pas à ces critères ont été éliminés et systématiquement repositionnés sur une nouvelle région. Seul le</w:t>
      </w:r>
      <w:r w:rsidR="00C61BFD">
        <w:t>s sondes CC1 et CC7 (</w:t>
      </w:r>
      <w:r w:rsidR="00A33335">
        <w:fldChar w:fldCharType="begin"/>
      </w:r>
      <w:r w:rsidR="00A33335">
        <w:instrText xml:space="preserve"> REF _Ref72339516 \h </w:instrText>
      </w:r>
      <w:r w:rsidR="00A33335">
        <w:fldChar w:fldCharType="separate"/>
      </w:r>
      <w:r w:rsidR="00A33335">
        <w:t xml:space="preserve">Tableau </w:t>
      </w:r>
      <w:r w:rsidR="00A33335">
        <w:rPr>
          <w:noProof/>
        </w:rPr>
        <w:t>7</w:t>
      </w:r>
      <w:r w:rsidR="00A33335">
        <w:fldChar w:fldCharType="end"/>
      </w:r>
      <w:r w:rsidR="00C61BFD">
        <w:t xml:space="preserve">) réalisent une détection croisée des souches du </w:t>
      </w:r>
      <w:r>
        <w:t>CC373, CC rare, dont une seule souche</w:t>
      </w:r>
      <w:r w:rsidR="00C61BFD">
        <w:t xml:space="preserve"> est reportée dans le panel de validation </w:t>
      </w:r>
      <w:r w:rsidR="00C61BFD" w:rsidRPr="00C61BFD">
        <w:rPr>
          <w:i/>
        </w:rPr>
        <w:t xml:space="preserve">in silico </w:t>
      </w:r>
      <w:r w:rsidR="00C61BFD">
        <w:t>(section 2.1.2)</w:t>
      </w:r>
      <w:r>
        <w:t xml:space="preserve"> aux USA en 2011</w:t>
      </w:r>
      <w:r w:rsidR="00A34C4E">
        <w:t>.</w:t>
      </w:r>
      <w:r>
        <w:t xml:space="preserve"> Ces deux sondes n’ont pas été repositionnées étant donné la rareté du CC373.</w:t>
      </w:r>
    </w:p>
    <w:p w14:paraId="0B922F26" w14:textId="1151E0AA" w:rsidR="005A74FA" w:rsidRDefault="005A74FA" w:rsidP="005A74FA">
      <w:r>
        <w:t>Certains faux positifs (</w:t>
      </w:r>
      <w:proofErr w:type="spellStart"/>
      <w:r>
        <w:t>p.e</w:t>
      </w:r>
      <w:proofErr w:type="spellEnd"/>
      <w:r>
        <w:t xml:space="preserve"> : détection d’une souche n’appartenant pas au CC cible) ont dû être tolérés. Au total, 48 </w:t>
      </w:r>
      <w:proofErr w:type="spellStart"/>
      <w:r>
        <w:t>CC</w:t>
      </w:r>
      <w:r w:rsidR="00A34C4E">
        <w:t>s</w:t>
      </w:r>
      <w:proofErr w:type="spellEnd"/>
      <w:r>
        <w:t xml:space="preserve"> ou </w:t>
      </w:r>
      <w:proofErr w:type="spellStart"/>
      <w:r>
        <w:t>ST</w:t>
      </w:r>
      <w:r w:rsidR="00A34C4E">
        <w:t>s</w:t>
      </w:r>
      <w:proofErr w:type="spellEnd"/>
      <w:r>
        <w:t xml:space="preserve"> non-ciblés par</w:t>
      </w:r>
      <w:r w:rsidR="00A34C4E">
        <w:t xml:space="preserve"> la méthode PCR en temps réel</w:t>
      </w:r>
      <w:r>
        <w:t xml:space="preserve"> </w:t>
      </w:r>
      <w:proofErr w:type="spellStart"/>
      <w:r>
        <w:t>Geno</w:t>
      </w:r>
      <w:r w:rsidRPr="00825DEF">
        <w:rPr>
          <w:i/>
        </w:rPr>
        <w:t>Listeria</w:t>
      </w:r>
      <w:proofErr w:type="spellEnd"/>
      <w:r>
        <w:t xml:space="preserve"> ont été identifiés comme pouvant être détectés par les PCR du schéma (</w:t>
      </w:r>
      <w:r w:rsidR="00A26C65">
        <w:fldChar w:fldCharType="begin"/>
      </w:r>
      <w:r w:rsidR="00A26C65">
        <w:instrText xml:space="preserve"> REF _Ref72339563 \h </w:instrText>
      </w:r>
      <w:r w:rsidR="00A26C65">
        <w:fldChar w:fldCharType="separate"/>
      </w:r>
      <w:r w:rsidR="00A26C65">
        <w:t xml:space="preserve">Tableau </w:t>
      </w:r>
      <w:r w:rsidR="00A26C65">
        <w:rPr>
          <w:noProof/>
        </w:rPr>
        <w:t>8</w:t>
      </w:r>
      <w:r w:rsidR="00A26C65">
        <w:fldChar w:fldCharType="end"/>
      </w:r>
      <w:r>
        <w:t xml:space="preserve">). Ces </w:t>
      </w:r>
      <w:proofErr w:type="spellStart"/>
      <w:r>
        <w:t>CCs</w:t>
      </w:r>
      <w:proofErr w:type="spellEnd"/>
      <w:r>
        <w:t xml:space="preserve"> ou </w:t>
      </w:r>
      <w:proofErr w:type="spellStart"/>
      <w:r>
        <w:t>STs</w:t>
      </w:r>
      <w:proofErr w:type="spellEnd"/>
      <w:r>
        <w:t xml:space="preserve"> non-ciblés sont appelés identifications conjointes. Elles n’ont pas pu être évitées lors du </w:t>
      </w:r>
      <w:r w:rsidR="00A34C4E">
        <w:t>dessin</w:t>
      </w:r>
      <w:r>
        <w:t xml:space="preserve"> des sondes. Cependant elles ne sont pas considérées comme des faux positifs, mais comme des </w:t>
      </w:r>
      <w:proofErr w:type="spellStart"/>
      <w:r>
        <w:t>co</w:t>
      </w:r>
      <w:proofErr w:type="spellEnd"/>
      <w:r>
        <w:t>-détections.</w:t>
      </w:r>
    </w:p>
    <w:p w14:paraId="02276E78" w14:textId="0FEE7DAB" w:rsidR="005A74FA" w:rsidRDefault="005A74FA" w:rsidP="005A74FA">
      <w:r>
        <w:t xml:space="preserve">Parmi les </w:t>
      </w:r>
      <w:proofErr w:type="spellStart"/>
      <w:r>
        <w:t>CC</w:t>
      </w:r>
      <w:r w:rsidR="00A34C4E">
        <w:t>s</w:t>
      </w:r>
      <w:proofErr w:type="spellEnd"/>
      <w:r>
        <w:t xml:space="preserve"> ou ST </w:t>
      </w:r>
      <w:proofErr w:type="spellStart"/>
      <w:r w:rsidR="00A34C4E">
        <w:t>s</w:t>
      </w:r>
      <w:r>
        <w:t>co</w:t>
      </w:r>
      <w:proofErr w:type="spellEnd"/>
      <w:r>
        <w:t>-détectés</w:t>
      </w:r>
      <w:r w:rsidR="00A34C4E">
        <w:t>,</w:t>
      </w:r>
      <w:r>
        <w:t xml:space="preserve"> 19 souches représentant 5 </w:t>
      </w:r>
      <w:proofErr w:type="spellStart"/>
      <w:r>
        <w:t>CCs</w:t>
      </w:r>
      <w:proofErr w:type="spellEnd"/>
      <w:r>
        <w:t xml:space="preserve"> et 8 </w:t>
      </w:r>
      <w:proofErr w:type="spellStart"/>
      <w:r>
        <w:t>STs</w:t>
      </w:r>
      <w:proofErr w:type="spellEnd"/>
      <w:r>
        <w:t xml:space="preserve"> </w:t>
      </w:r>
      <w:proofErr w:type="spellStart"/>
      <w:r>
        <w:t>co</w:t>
      </w:r>
      <w:proofErr w:type="spellEnd"/>
      <w:r>
        <w:t xml:space="preserve">-détectées (section 2.6.2), ont été ajoutées dans </w:t>
      </w:r>
      <w:r w:rsidR="00606553">
        <w:t>le panel d’</w:t>
      </w:r>
      <w:proofErr w:type="spellStart"/>
      <w:r w:rsidR="00606553">
        <w:t>inclusivité</w:t>
      </w:r>
      <w:proofErr w:type="spellEnd"/>
      <w:r w:rsidR="00606553">
        <w:t xml:space="preserve"> (Annexe 3</w:t>
      </w:r>
      <w:r>
        <w:t>).</w:t>
      </w:r>
    </w:p>
    <w:p w14:paraId="2BEC58C2" w14:textId="12826328" w:rsidR="000B69C6" w:rsidRDefault="000B69C6" w:rsidP="005A74FA"/>
    <w:p w14:paraId="2F22AA82" w14:textId="44475734" w:rsidR="00A26C65" w:rsidRDefault="00A26C65" w:rsidP="005A74FA"/>
    <w:p w14:paraId="7FE93DB4" w14:textId="3FB68ADB" w:rsidR="00A26C65" w:rsidRDefault="00A26C65" w:rsidP="005A74FA"/>
    <w:p w14:paraId="58F9D03E" w14:textId="736A6B2C" w:rsidR="00A26C65" w:rsidRDefault="00A26C65" w:rsidP="005A74FA"/>
    <w:p w14:paraId="549E7982" w14:textId="17DE3527" w:rsidR="00A26C65" w:rsidRDefault="00A26C65" w:rsidP="005A74FA"/>
    <w:p w14:paraId="42A9E06D" w14:textId="6D72950E" w:rsidR="00A26C65" w:rsidRDefault="00A26C65" w:rsidP="005A74FA"/>
    <w:p w14:paraId="5FCD3D22" w14:textId="73440979" w:rsidR="00A26C65" w:rsidRDefault="00A26C65" w:rsidP="005A74FA"/>
    <w:p w14:paraId="142C61FE" w14:textId="36C9439F" w:rsidR="00A26C65" w:rsidRDefault="00A26C65" w:rsidP="005A74FA"/>
    <w:p w14:paraId="6233F29E" w14:textId="43F8FFEB" w:rsidR="00A26C65" w:rsidRDefault="00A26C65" w:rsidP="005A74FA"/>
    <w:p w14:paraId="427EC66B" w14:textId="64C5F543" w:rsidR="00A26C65" w:rsidRDefault="00A26C65" w:rsidP="005A74FA"/>
    <w:p w14:paraId="195EE70E" w14:textId="0FC75120" w:rsidR="00A26C65" w:rsidRDefault="00A26C65" w:rsidP="005A74FA"/>
    <w:p w14:paraId="6C7FF77D" w14:textId="5828FB42" w:rsidR="00A26C65" w:rsidRDefault="00A26C65" w:rsidP="005A74FA"/>
    <w:p w14:paraId="373BFD00" w14:textId="1F16224A" w:rsidR="00A26C65" w:rsidRDefault="00A26C65" w:rsidP="005A74FA"/>
    <w:p w14:paraId="2F2E27DA" w14:textId="6F1B02C4" w:rsidR="00A26C65" w:rsidRDefault="00A26C65" w:rsidP="005A74FA"/>
    <w:p w14:paraId="7A460C11" w14:textId="62D8530E" w:rsidR="00A26C65" w:rsidRDefault="00A26C65" w:rsidP="005A74FA"/>
    <w:p w14:paraId="1FF73640" w14:textId="1ADC11C5" w:rsidR="00A26C65" w:rsidRDefault="00A26C65" w:rsidP="005A74FA"/>
    <w:p w14:paraId="3DC5A4C5" w14:textId="6610D17A" w:rsidR="005A74FA" w:rsidRDefault="00A26C65" w:rsidP="00A26C65">
      <w:pPr>
        <w:pStyle w:val="Lgende"/>
      </w:pPr>
      <w:bookmarkStart w:id="63" w:name="_Ref72339563"/>
      <w:bookmarkStart w:id="64" w:name="_Toc73027718"/>
      <w:r>
        <w:lastRenderedPageBreak/>
        <w:t xml:space="preserve">Tableau </w:t>
      </w:r>
      <w:r w:rsidR="00657B21">
        <w:fldChar w:fldCharType="begin"/>
      </w:r>
      <w:r w:rsidR="00657B21">
        <w:instrText xml:space="preserve"> SEQ Tableau \* ARABIC </w:instrText>
      </w:r>
      <w:r w:rsidR="00657B21">
        <w:fldChar w:fldCharType="separate"/>
      </w:r>
      <w:r w:rsidR="003E5038">
        <w:rPr>
          <w:noProof/>
        </w:rPr>
        <w:t>8</w:t>
      </w:r>
      <w:r w:rsidR="00657B21">
        <w:rPr>
          <w:noProof/>
        </w:rPr>
        <w:fldChar w:fldCharType="end"/>
      </w:r>
      <w:bookmarkEnd w:id="63"/>
      <w:r w:rsidR="005A74FA">
        <w:t>: Co-détection</w:t>
      </w:r>
      <w:r w:rsidR="004F250F">
        <w:t>s</w:t>
      </w:r>
      <w:r w:rsidR="005A74FA">
        <w:t xml:space="preserve"> identifiées pour chacun des tests PCR </w:t>
      </w:r>
      <w:r w:rsidR="004F250F">
        <w:t>en temps réel</w:t>
      </w:r>
      <w:bookmarkEnd w:id="64"/>
    </w:p>
    <w:p w14:paraId="624EF5BB" w14:textId="77777777" w:rsidR="005A74FA" w:rsidRDefault="005A74FA" w:rsidP="005A74FA">
      <w:pPr>
        <w:jc w:val="center"/>
      </w:pPr>
      <w:r w:rsidRPr="00F449FD">
        <w:rPr>
          <w:noProof/>
        </w:rPr>
        <w:drawing>
          <wp:inline distT="0" distB="0" distL="0" distR="0" wp14:anchorId="0A35E173" wp14:editId="1F58FA68">
            <wp:extent cx="4501515" cy="5311848"/>
            <wp:effectExtent l="19050" t="19050" r="13335" b="2222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5605"/>
                    <a:stretch/>
                  </pic:blipFill>
                  <pic:spPr bwMode="auto">
                    <a:xfrm>
                      <a:off x="0" y="0"/>
                      <a:ext cx="4512718" cy="532506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F5B468A" w14:textId="2044630C" w:rsidR="005A74FA" w:rsidRDefault="005A74FA" w:rsidP="00FA4D29">
      <w:pPr>
        <w:pStyle w:val="Titre4"/>
      </w:pPr>
      <w:r>
        <w:t>A</w:t>
      </w:r>
      <w:r w:rsidRPr="005A74FA">
        <w:t>nalyse du panel de 135 souches typées par PFGE</w:t>
      </w:r>
    </w:p>
    <w:p w14:paraId="383A76DE" w14:textId="77777777" w:rsidR="005A74FA" w:rsidRPr="009F6D6D" w:rsidRDefault="005A74FA" w:rsidP="005A74FA">
      <w:r>
        <w:t xml:space="preserve">Les trois tests </w:t>
      </w:r>
      <w:r w:rsidRPr="009F6D6D">
        <w:t>PCR CC11-ST451, CC19-ST398-802</w:t>
      </w:r>
      <w:r>
        <w:t>-1308</w:t>
      </w:r>
      <w:r w:rsidRPr="009F6D6D">
        <w:t xml:space="preserve"> et C</w:t>
      </w:r>
      <w:r>
        <w:t>C199 n’ont pas été évalué</w:t>
      </w:r>
      <w:r w:rsidRPr="009F6D6D">
        <w:t>s sur ce panel</w:t>
      </w:r>
      <w:r>
        <w:t>.</w:t>
      </w:r>
    </w:p>
    <w:p w14:paraId="35EEE3FD" w14:textId="370C8E34" w:rsidR="005A74FA" w:rsidRDefault="005A74FA" w:rsidP="005A74FA">
      <w:r>
        <w:t>Sur les 135 souches</w:t>
      </w:r>
      <w:r w:rsidR="004F250F">
        <w:t>,</w:t>
      </w:r>
      <w:r>
        <w:t xml:space="preserve"> 23 des 26 </w:t>
      </w:r>
      <w:proofErr w:type="spellStart"/>
      <w:r>
        <w:t>CC</w:t>
      </w:r>
      <w:r w:rsidR="004F250F">
        <w:t>s</w:t>
      </w:r>
      <w:proofErr w:type="spellEnd"/>
      <w:r>
        <w:t xml:space="preserve"> ciblés ont été identifiés par </w:t>
      </w:r>
      <w:r w:rsidR="004F250F">
        <w:t xml:space="preserve">la méthode de PCR en temps réel </w:t>
      </w:r>
      <w:proofErr w:type="spellStart"/>
      <w:r>
        <w:t>Geno</w:t>
      </w:r>
      <w:r w:rsidRPr="00010D4A">
        <w:rPr>
          <w:i/>
        </w:rPr>
        <w:t>Listeria</w:t>
      </w:r>
      <w:proofErr w:type="spellEnd"/>
      <w:r>
        <w:t>. Sur la base de leur</w:t>
      </w:r>
      <w:r w:rsidR="004F250F">
        <w:t xml:space="preserve"> profil</w:t>
      </w:r>
      <w:r>
        <w:t xml:space="preserve"> PFGE, 85,2% (n=115) des souches ont pu être attribuées à un CC. Via</w:t>
      </w:r>
      <w:r w:rsidR="004F250F">
        <w:t xml:space="preserve"> la méthode de PCR en temps réel</w:t>
      </w:r>
      <w:r>
        <w:t xml:space="preserve"> </w:t>
      </w:r>
      <w:proofErr w:type="spellStart"/>
      <w:r>
        <w:t>Geno</w:t>
      </w:r>
      <w:r w:rsidRPr="00010D4A">
        <w:rPr>
          <w:i/>
        </w:rPr>
        <w:t>Listeria</w:t>
      </w:r>
      <w:proofErr w:type="spellEnd"/>
      <w:r w:rsidR="004F250F">
        <w:rPr>
          <w:i/>
        </w:rPr>
        <w:t>,</w:t>
      </w:r>
      <w:r>
        <w:t xml:space="preserve"> 82,2% (n=111) des souches ont été identifiées par </w:t>
      </w:r>
      <w:r w:rsidR="004F250F">
        <w:t>celle-ci</w:t>
      </w:r>
      <w:r>
        <w:t xml:space="preserve"> (</w:t>
      </w:r>
      <w:r w:rsidR="000327CA">
        <w:fldChar w:fldCharType="begin"/>
      </w:r>
      <w:r w:rsidR="000327CA">
        <w:instrText xml:space="preserve"> REF _Ref72339688 \h </w:instrText>
      </w:r>
      <w:r w:rsidR="000327CA">
        <w:fldChar w:fldCharType="separate"/>
      </w:r>
      <w:r w:rsidR="004F250F" w:rsidRPr="00A26C65">
        <w:rPr>
          <w:szCs w:val="22"/>
        </w:rPr>
        <w:t xml:space="preserve">Figure </w:t>
      </w:r>
      <w:r w:rsidR="004F250F">
        <w:rPr>
          <w:noProof/>
          <w:szCs w:val="22"/>
        </w:rPr>
        <w:t>5</w:t>
      </w:r>
      <w:r w:rsidR="000327CA">
        <w:fldChar w:fldCharType="end"/>
      </w:r>
      <w:r w:rsidR="004F250F">
        <w:t>). L</w:t>
      </w:r>
      <w:r>
        <w:t>es résultats relativement bas sont liés à la diversité des profils PFGE pris en compte dans chaque collection.</w:t>
      </w:r>
    </w:p>
    <w:p w14:paraId="28AD2360" w14:textId="010F2DF4" w:rsidR="005A74FA" w:rsidRDefault="005A74FA" w:rsidP="005A74FA">
      <w:r>
        <w:t xml:space="preserve">Pour les souches </w:t>
      </w:r>
      <w:r w:rsidR="004F250F">
        <w:t>« </w:t>
      </w:r>
      <w:proofErr w:type="spellStart"/>
      <w:r>
        <w:t>typables</w:t>
      </w:r>
      <w:proofErr w:type="spellEnd"/>
      <w:r w:rsidR="004F250F">
        <w:t> »</w:t>
      </w:r>
      <w:r>
        <w:t xml:space="preserve"> par les deux méthodes, aucune n’a été détectée par </w:t>
      </w:r>
      <w:r w:rsidR="004F250F">
        <w:t xml:space="preserve">les </w:t>
      </w:r>
      <w:r>
        <w:t xml:space="preserve">deux tests de PCR </w:t>
      </w:r>
      <w:r w:rsidR="004F250F">
        <w:t xml:space="preserve"> en temps réel </w:t>
      </w:r>
      <w:r>
        <w:t>différents (</w:t>
      </w:r>
      <w:r w:rsidR="00A26C65">
        <w:fldChar w:fldCharType="begin"/>
      </w:r>
      <w:r w:rsidR="00A26C65">
        <w:instrText xml:space="preserve"> REF _Ref72339688 \h </w:instrText>
      </w:r>
      <w:r w:rsidR="00A26C65">
        <w:fldChar w:fldCharType="separate"/>
      </w:r>
      <w:r w:rsidR="00A26C65" w:rsidRPr="00A26C65">
        <w:rPr>
          <w:sz w:val="22"/>
          <w:szCs w:val="22"/>
        </w:rPr>
        <w:t xml:space="preserve">Figure </w:t>
      </w:r>
      <w:r w:rsidR="00A26C65" w:rsidRPr="00A26C65">
        <w:rPr>
          <w:noProof/>
          <w:sz w:val="22"/>
          <w:szCs w:val="22"/>
        </w:rPr>
        <w:t>5</w:t>
      </w:r>
      <w:r w:rsidR="00A26C65">
        <w:fldChar w:fldCharType="end"/>
      </w:r>
      <w:r>
        <w:t>). Seuls deux Souches appartenant au CC19 et au CC403 ont été respectivement détecté</w:t>
      </w:r>
      <w:r w:rsidR="004F250F">
        <w:t>e</w:t>
      </w:r>
      <w:r>
        <w:t>s par les tests de PCR</w:t>
      </w:r>
      <w:r w:rsidR="004F250F">
        <w:t xml:space="preserve"> en temps réel</w:t>
      </w:r>
      <w:r>
        <w:t xml:space="preserve"> ciblant CC20 et CC21. Ces résultats étaient </w:t>
      </w:r>
      <w:r>
        <w:lastRenderedPageBreak/>
        <w:t xml:space="preserve">attendus sur la base des analyses réalisées </w:t>
      </w:r>
      <w:r w:rsidRPr="004F250F">
        <w:rPr>
          <w:i/>
        </w:rPr>
        <w:t>in silico</w:t>
      </w:r>
      <w:r>
        <w:t xml:space="preserve"> (section 2.6.2,</w:t>
      </w:r>
      <w:r w:rsidR="00A26C65">
        <w:t xml:space="preserve"> </w:t>
      </w:r>
      <w:r w:rsidR="00A26C65">
        <w:fldChar w:fldCharType="begin"/>
      </w:r>
      <w:r w:rsidR="00A26C65">
        <w:instrText xml:space="preserve"> REF _Ref72339466 \h </w:instrText>
      </w:r>
      <w:r w:rsidR="00A26C65">
        <w:fldChar w:fldCharType="separate"/>
      </w:r>
      <w:r w:rsidR="004F250F">
        <w:t xml:space="preserve">Tableau </w:t>
      </w:r>
      <w:r w:rsidR="004F250F">
        <w:rPr>
          <w:noProof/>
        </w:rPr>
        <w:t>6</w:t>
      </w:r>
      <w:r w:rsidR="00A26C65">
        <w:fldChar w:fldCharType="end"/>
      </w:r>
      <w:r>
        <w:t xml:space="preserve">). Toutes les souches CC19-ST19-173 et CC403 portent les marqueurs génétiques des deux PCR </w:t>
      </w:r>
      <w:r w:rsidR="004F250F">
        <w:t xml:space="preserve">en temps réel </w:t>
      </w:r>
      <w:r>
        <w:t>CC20 et CC21.</w:t>
      </w:r>
    </w:p>
    <w:p w14:paraId="1532D1C6" w14:textId="3E628C2F" w:rsidR="005A74FA" w:rsidRPr="00F5516F" w:rsidRDefault="004F250F" w:rsidP="005A74FA">
      <w:pPr>
        <w:rPr>
          <w:noProof/>
          <w:sz w:val="16"/>
          <w:lang w:eastAsia="en-GB"/>
        </w:rPr>
      </w:pPr>
      <w:r>
        <w:rPr>
          <w:noProof/>
          <w:sz w:val="16"/>
        </w:rPr>
        <mc:AlternateContent>
          <mc:Choice Requires="wps">
            <w:drawing>
              <wp:anchor distT="0" distB="0" distL="114300" distR="114300" simplePos="0" relativeHeight="251664896" behindDoc="0" locked="0" layoutInCell="1" allowOverlap="1" wp14:anchorId="29703652" wp14:editId="561DC718">
                <wp:simplePos x="0" y="0"/>
                <wp:positionH relativeFrom="column">
                  <wp:posOffset>2797156</wp:posOffset>
                </wp:positionH>
                <wp:positionV relativeFrom="paragraph">
                  <wp:posOffset>15450</wp:posOffset>
                </wp:positionV>
                <wp:extent cx="330979" cy="308540"/>
                <wp:effectExtent l="0" t="0" r="12065" b="15875"/>
                <wp:wrapNone/>
                <wp:docPr id="3" name="Zone de texte 3"/>
                <wp:cNvGraphicFramePr/>
                <a:graphic xmlns:a="http://schemas.openxmlformats.org/drawingml/2006/main">
                  <a:graphicData uri="http://schemas.microsoft.com/office/word/2010/wordprocessingShape">
                    <wps:wsp>
                      <wps:cNvSpPr txBox="1"/>
                      <wps:spPr>
                        <a:xfrm>
                          <a:off x="0" y="0"/>
                          <a:ext cx="330979" cy="308540"/>
                        </a:xfrm>
                        <a:prstGeom prst="rect">
                          <a:avLst/>
                        </a:prstGeom>
                        <a:solidFill>
                          <a:schemeClr val="lt1"/>
                        </a:solidFill>
                        <a:ln w="6350">
                          <a:solidFill>
                            <a:prstClr val="black"/>
                          </a:solidFill>
                        </a:ln>
                      </wps:spPr>
                      <wps:txbx>
                        <w:txbxContent>
                          <w:p w14:paraId="1179E178" w14:textId="302BCC89" w:rsidR="00EA3623" w:rsidRDefault="00EA362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703652" id="_x0000_t202" coordsize="21600,21600" o:spt="202" path="m,l,21600r21600,l21600,xe">
                <v:stroke joinstyle="miter"/>
                <v:path gradientshapeok="t" o:connecttype="rect"/>
              </v:shapetype>
              <v:shape id="Zone de texte 3" o:spid="_x0000_s1026" type="#_x0000_t202" style="position:absolute;left:0;text-align:left;margin-left:220.25pt;margin-top:1.2pt;width:26.05pt;height:24.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" fillcolor="white [3201]" strokeweight=".5pt">
                <v:textbox>
                  <w:txbxContent>
                    <w:p w14:paraId="1179E178" w14:textId="302BCC89" w:rsidR="00EA3623" w:rsidRDefault="00EA3623">
                      <w:r>
                        <w:t>b)</w:t>
                      </w:r>
                    </w:p>
                  </w:txbxContent>
                </v:textbox>
              </v:shape>
            </w:pict>
          </mc:Fallback>
        </mc:AlternateContent>
      </w:r>
      <w:r w:rsidR="005A74FA">
        <w:rPr>
          <w:noProof/>
          <w:sz w:val="16"/>
        </w:rPr>
        <w:drawing>
          <wp:inline distT="0" distB="0" distL="0" distR="0" wp14:anchorId="5EB3A216" wp14:editId="2C5E0A53">
            <wp:extent cx="5308388" cy="3041229"/>
            <wp:effectExtent l="0" t="0" r="6985" b="698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12302" cy="3043472"/>
                    </a:xfrm>
                    <a:prstGeom prst="rect">
                      <a:avLst/>
                    </a:prstGeom>
                    <a:noFill/>
                  </pic:spPr>
                </pic:pic>
              </a:graphicData>
            </a:graphic>
          </wp:inline>
        </w:drawing>
      </w:r>
      <w:r w:rsidR="005A74FA" w:rsidRPr="00F5516F">
        <w:rPr>
          <w:noProof/>
          <w:sz w:val="16"/>
          <w:lang w:eastAsia="en-GB"/>
        </w:rPr>
        <w:t xml:space="preserve"> </w:t>
      </w:r>
      <w:r>
        <w:rPr>
          <w:noProof/>
          <w:sz w:val="16"/>
        </w:rPr>
        <mc:AlternateContent>
          <mc:Choice Requires="wps">
            <w:drawing>
              <wp:anchor distT="0" distB="0" distL="114300" distR="114300" simplePos="0" relativeHeight="251666944" behindDoc="0" locked="0" layoutInCell="1" allowOverlap="1" wp14:anchorId="02F808AB" wp14:editId="0071353B">
                <wp:simplePos x="0" y="0"/>
                <wp:positionH relativeFrom="column">
                  <wp:posOffset>0</wp:posOffset>
                </wp:positionH>
                <wp:positionV relativeFrom="paragraph">
                  <wp:posOffset>-635</wp:posOffset>
                </wp:positionV>
                <wp:extent cx="330979" cy="308540"/>
                <wp:effectExtent l="0" t="0" r="12065" b="15875"/>
                <wp:wrapNone/>
                <wp:docPr id="10" name="Zone de texte 10"/>
                <wp:cNvGraphicFramePr/>
                <a:graphic xmlns:a="http://schemas.openxmlformats.org/drawingml/2006/main">
                  <a:graphicData uri="http://schemas.microsoft.com/office/word/2010/wordprocessingShape">
                    <wps:wsp>
                      <wps:cNvSpPr txBox="1"/>
                      <wps:spPr>
                        <a:xfrm>
                          <a:off x="0" y="0"/>
                          <a:ext cx="330979" cy="308540"/>
                        </a:xfrm>
                        <a:prstGeom prst="rect">
                          <a:avLst/>
                        </a:prstGeom>
                        <a:solidFill>
                          <a:schemeClr val="lt1"/>
                        </a:solidFill>
                        <a:ln w="6350">
                          <a:solidFill>
                            <a:prstClr val="black"/>
                          </a:solidFill>
                        </a:ln>
                      </wps:spPr>
                      <wps:txbx>
                        <w:txbxContent>
                          <w:p w14:paraId="1F45B0E8" w14:textId="77777777" w:rsidR="00EA3623" w:rsidRDefault="00EA3623" w:rsidP="004F250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808AB" id="Zone de texte 10" o:spid="_x0000_s1027" type="#_x0000_t202" style="position:absolute;left:0;text-align:left;margin-left:0;margin-top:-.05pt;width:26.05pt;height:24.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" fillcolor="white [3201]" strokeweight=".5pt">
                <v:textbox>
                  <w:txbxContent>
                    <w:p w14:paraId="1F45B0E8" w14:textId="77777777" w:rsidR="00EA3623" w:rsidRDefault="00EA3623" w:rsidP="004F250F">
                      <w:r>
                        <w:t>a)</w:t>
                      </w:r>
                    </w:p>
                  </w:txbxContent>
                </v:textbox>
              </v:shape>
            </w:pict>
          </mc:Fallback>
        </mc:AlternateContent>
      </w:r>
    </w:p>
    <w:p w14:paraId="59A65FBC" w14:textId="60771ED2" w:rsidR="005A74FA" w:rsidRPr="00A26C65" w:rsidRDefault="00A26C65" w:rsidP="00A26C65">
      <w:pPr>
        <w:pStyle w:val="Lgende"/>
        <w:rPr>
          <w:noProof/>
          <w:szCs w:val="22"/>
          <w:lang w:eastAsia="en-GB"/>
        </w:rPr>
      </w:pPr>
      <w:bookmarkStart w:id="65" w:name="_Ref72339688"/>
      <w:bookmarkStart w:id="66" w:name="_Toc73027709"/>
      <w:r w:rsidRPr="00A26C65">
        <w:rPr>
          <w:szCs w:val="22"/>
        </w:rPr>
        <w:t xml:space="preserve">Figure </w:t>
      </w:r>
      <w:r w:rsidRPr="00A26C65">
        <w:rPr>
          <w:szCs w:val="22"/>
        </w:rPr>
        <w:fldChar w:fldCharType="begin"/>
      </w:r>
      <w:r w:rsidRPr="00A26C65">
        <w:rPr>
          <w:szCs w:val="22"/>
        </w:rPr>
        <w:instrText xml:space="preserve"> SEQ Figure \* ARABIC </w:instrText>
      </w:r>
      <w:r w:rsidRPr="00A26C65">
        <w:rPr>
          <w:szCs w:val="22"/>
        </w:rPr>
        <w:fldChar w:fldCharType="separate"/>
      </w:r>
      <w:r>
        <w:rPr>
          <w:noProof/>
          <w:szCs w:val="22"/>
        </w:rPr>
        <w:t>5</w:t>
      </w:r>
      <w:r w:rsidRPr="00A26C65">
        <w:rPr>
          <w:szCs w:val="22"/>
        </w:rPr>
        <w:fldChar w:fldCharType="end"/>
      </w:r>
      <w:bookmarkEnd w:id="65"/>
      <w:r w:rsidRPr="00A26C65">
        <w:rPr>
          <w:szCs w:val="22"/>
        </w:rPr>
        <w:t xml:space="preserve"> : </w:t>
      </w:r>
      <w:r w:rsidR="005A74FA" w:rsidRPr="00A26C65">
        <w:rPr>
          <w:noProof/>
          <w:szCs w:val="22"/>
          <w:lang w:eastAsia="en-GB"/>
        </w:rPr>
        <w:t xml:space="preserve"> </w:t>
      </w:r>
      <w:r w:rsidR="004F250F">
        <w:rPr>
          <w:noProof/>
          <w:szCs w:val="22"/>
          <w:lang w:eastAsia="en-GB"/>
        </w:rPr>
        <w:t>a) D</w:t>
      </w:r>
      <w:r w:rsidR="005A74FA" w:rsidRPr="00A26C65">
        <w:rPr>
          <w:noProof/>
          <w:szCs w:val="22"/>
          <w:lang w:eastAsia="en-GB"/>
        </w:rPr>
        <w:t>istribution des souches</w:t>
      </w:r>
      <w:r w:rsidR="007E06AC">
        <w:rPr>
          <w:noProof/>
          <w:szCs w:val="22"/>
          <w:lang w:eastAsia="en-GB"/>
        </w:rPr>
        <w:t xml:space="preserve"> (n=135)</w:t>
      </w:r>
      <w:r w:rsidR="005A74FA" w:rsidRPr="00A26C65">
        <w:rPr>
          <w:noProof/>
          <w:szCs w:val="22"/>
          <w:lang w:eastAsia="en-GB"/>
        </w:rPr>
        <w:t xml:space="preserve"> dont le CC est déduit du</w:t>
      </w:r>
      <w:r w:rsidR="007E06AC">
        <w:rPr>
          <w:noProof/>
          <w:szCs w:val="22"/>
          <w:lang w:eastAsia="en-GB"/>
        </w:rPr>
        <w:t xml:space="preserve"> profil</w:t>
      </w:r>
      <w:r w:rsidR="005A74FA" w:rsidRPr="00A26C65">
        <w:rPr>
          <w:noProof/>
          <w:szCs w:val="22"/>
          <w:lang w:eastAsia="en-GB"/>
        </w:rPr>
        <w:t xml:space="preserve"> PFGE au sein des CC</w:t>
      </w:r>
      <w:r w:rsidR="007E06AC">
        <w:rPr>
          <w:noProof/>
          <w:szCs w:val="22"/>
          <w:lang w:eastAsia="en-GB"/>
        </w:rPr>
        <w:t>s</w:t>
      </w:r>
      <w:r w:rsidR="005A74FA" w:rsidRPr="00A26C65">
        <w:rPr>
          <w:noProof/>
          <w:szCs w:val="22"/>
          <w:lang w:eastAsia="en-GB"/>
        </w:rPr>
        <w:t xml:space="preserve"> identifiés par la méthode </w:t>
      </w:r>
      <w:r w:rsidR="007E06AC">
        <w:rPr>
          <w:noProof/>
          <w:szCs w:val="22"/>
          <w:lang w:eastAsia="en-GB"/>
        </w:rPr>
        <w:t xml:space="preserve">de PCR en temps réel </w:t>
      </w:r>
      <w:r w:rsidR="005A74FA" w:rsidRPr="00A26C65">
        <w:rPr>
          <w:noProof/>
          <w:szCs w:val="22"/>
          <w:lang w:eastAsia="en-GB"/>
        </w:rPr>
        <w:t>Geno</w:t>
      </w:r>
      <w:r w:rsidR="005A74FA" w:rsidRPr="00A26C65">
        <w:rPr>
          <w:i/>
          <w:noProof/>
          <w:szCs w:val="22"/>
          <w:lang w:eastAsia="en-GB"/>
        </w:rPr>
        <w:t xml:space="preserve">Listeria. </w:t>
      </w:r>
      <w:r w:rsidR="007E06AC">
        <w:rPr>
          <w:noProof/>
          <w:szCs w:val="22"/>
          <w:lang w:eastAsia="en-GB"/>
        </w:rPr>
        <w:t>b</w:t>
      </w:r>
      <w:r w:rsidR="004F250F">
        <w:rPr>
          <w:noProof/>
          <w:szCs w:val="22"/>
          <w:lang w:eastAsia="en-GB"/>
        </w:rPr>
        <w:t xml:space="preserve">) </w:t>
      </w:r>
      <w:r w:rsidR="007E06AC">
        <w:rPr>
          <w:noProof/>
          <w:szCs w:val="22"/>
          <w:lang w:eastAsia="en-GB"/>
        </w:rPr>
        <w:t>D</w:t>
      </w:r>
      <w:r w:rsidR="007E06AC" w:rsidRPr="00A26C65">
        <w:rPr>
          <w:noProof/>
          <w:szCs w:val="22"/>
          <w:lang w:eastAsia="en-GB"/>
        </w:rPr>
        <w:t>istribution des souches</w:t>
      </w:r>
      <w:r w:rsidR="007E06AC">
        <w:rPr>
          <w:noProof/>
          <w:szCs w:val="22"/>
          <w:lang w:eastAsia="en-GB"/>
        </w:rPr>
        <w:t xml:space="preserve"> (n=135)</w:t>
      </w:r>
      <w:r w:rsidR="007E06AC" w:rsidRPr="00A26C65">
        <w:rPr>
          <w:noProof/>
          <w:szCs w:val="22"/>
          <w:lang w:eastAsia="en-GB"/>
        </w:rPr>
        <w:t xml:space="preserve"> </w:t>
      </w:r>
      <w:r w:rsidR="005A74FA" w:rsidRPr="00A26C65">
        <w:rPr>
          <w:noProof/>
          <w:szCs w:val="22"/>
          <w:lang w:eastAsia="en-GB"/>
        </w:rPr>
        <w:t>en identifiant les CC</w:t>
      </w:r>
      <w:r w:rsidR="007E06AC">
        <w:rPr>
          <w:noProof/>
          <w:szCs w:val="22"/>
          <w:lang w:eastAsia="en-GB"/>
        </w:rPr>
        <w:t>s</w:t>
      </w:r>
      <w:r w:rsidR="005A74FA" w:rsidRPr="00A26C65">
        <w:rPr>
          <w:noProof/>
          <w:szCs w:val="22"/>
          <w:lang w:eastAsia="en-GB"/>
        </w:rPr>
        <w:t xml:space="preserve"> déduits du </w:t>
      </w:r>
      <w:r w:rsidR="007E06AC">
        <w:rPr>
          <w:noProof/>
          <w:szCs w:val="22"/>
          <w:lang w:eastAsia="en-GB"/>
        </w:rPr>
        <w:t xml:space="preserve">profil </w:t>
      </w:r>
      <w:r w:rsidR="005A74FA" w:rsidRPr="00A26C65">
        <w:rPr>
          <w:noProof/>
          <w:szCs w:val="22"/>
          <w:lang w:eastAsia="en-GB"/>
        </w:rPr>
        <w:t>PFGE individuellement via un code couleur.</w:t>
      </w:r>
      <w:bookmarkEnd w:id="66"/>
    </w:p>
    <w:p w14:paraId="3DF3F3D2" w14:textId="7F60BBB4" w:rsidR="00F1064C" w:rsidRDefault="00F1064C" w:rsidP="00FA4D29">
      <w:pPr>
        <w:pStyle w:val="Titre4"/>
      </w:pPr>
      <w:r>
        <w:t>A</w:t>
      </w:r>
      <w:r w:rsidRPr="005A74FA">
        <w:t xml:space="preserve">nalyse du panel de </w:t>
      </w:r>
      <w:r w:rsidR="00A56FD5">
        <w:t>72</w:t>
      </w:r>
      <w:r w:rsidRPr="005A74FA">
        <w:t xml:space="preserve"> souches </w:t>
      </w:r>
      <w:r w:rsidR="00A56FD5">
        <w:t>non-</w:t>
      </w:r>
      <w:r w:rsidRPr="005A74FA">
        <w:t>typées</w:t>
      </w:r>
    </w:p>
    <w:p w14:paraId="1A915582" w14:textId="28D34FAA" w:rsidR="00A56FD5" w:rsidRDefault="00A56FD5" w:rsidP="00A56FD5">
      <w:r>
        <w:t>Sur les 72 souches typées par</w:t>
      </w:r>
      <w:r w:rsidR="007E06AC">
        <w:t xml:space="preserve"> la méthode de PCR en temps réel</w:t>
      </w:r>
      <w:r>
        <w:t xml:space="preserve"> </w:t>
      </w:r>
      <w:proofErr w:type="spellStart"/>
      <w:r>
        <w:t>Geno</w:t>
      </w:r>
      <w:r w:rsidRPr="00010D4A">
        <w:rPr>
          <w:i/>
        </w:rPr>
        <w:t>L</w:t>
      </w:r>
      <w:r>
        <w:rPr>
          <w:i/>
        </w:rPr>
        <w:t>isteria</w:t>
      </w:r>
      <w:proofErr w:type="spellEnd"/>
      <w:r w:rsidR="007E06AC">
        <w:rPr>
          <w:i/>
        </w:rPr>
        <w:t>,</w:t>
      </w:r>
      <w:r>
        <w:t xml:space="preserve"> 7 des </w:t>
      </w:r>
      <w:r w:rsidR="00D80DF9">
        <w:t xml:space="preserve">29 </w:t>
      </w:r>
      <w:proofErr w:type="spellStart"/>
      <w:r w:rsidR="00D80DF9">
        <w:t>CC</w:t>
      </w:r>
      <w:r w:rsidR="007E06AC">
        <w:t>s</w:t>
      </w:r>
      <w:proofErr w:type="spellEnd"/>
      <w:r>
        <w:t xml:space="preserve"> cibles ont été identifiés. Au total, 91,7% (n=66) des souches ont été identifiées par la méthode (</w:t>
      </w:r>
      <w:r w:rsidR="00A26C65">
        <w:fldChar w:fldCharType="begin"/>
      </w:r>
      <w:r w:rsidR="00A26C65">
        <w:instrText xml:space="preserve"> REF _Ref72339728 \h </w:instrText>
      </w:r>
      <w:r w:rsidR="00A26C65">
        <w:fldChar w:fldCharType="separate"/>
      </w:r>
      <w:r w:rsidR="00A26C65" w:rsidRPr="00A26C65">
        <w:rPr>
          <w:sz w:val="22"/>
          <w:szCs w:val="22"/>
        </w:rPr>
        <w:t xml:space="preserve">Figure </w:t>
      </w:r>
      <w:r w:rsidR="00A26C65" w:rsidRPr="00A26C65">
        <w:rPr>
          <w:noProof/>
          <w:sz w:val="22"/>
          <w:szCs w:val="22"/>
        </w:rPr>
        <w:t>6</w:t>
      </w:r>
      <w:r w:rsidR="00A26C65">
        <w:fldChar w:fldCharType="end"/>
      </w:r>
      <w:r>
        <w:t>).</w:t>
      </w:r>
    </w:p>
    <w:p w14:paraId="548A1B64" w14:textId="77777777" w:rsidR="00A56FD5" w:rsidRDefault="00A56FD5" w:rsidP="00A56FD5">
      <w:pPr>
        <w:jc w:val="center"/>
      </w:pPr>
      <w:r>
        <w:rPr>
          <w:noProof/>
        </w:rPr>
        <w:drawing>
          <wp:inline distT="0" distB="0" distL="0" distR="0" wp14:anchorId="12074C26" wp14:editId="3D0109BF">
            <wp:extent cx="2054132" cy="2714625"/>
            <wp:effectExtent l="0" t="0" r="381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061125" cy="2723866"/>
                    </a:xfrm>
                    <a:prstGeom prst="rect">
                      <a:avLst/>
                    </a:prstGeom>
                  </pic:spPr>
                </pic:pic>
              </a:graphicData>
            </a:graphic>
          </wp:inline>
        </w:drawing>
      </w:r>
    </w:p>
    <w:p w14:paraId="5149A9E3" w14:textId="668F2380" w:rsidR="00A56FD5" w:rsidRPr="00A26C65" w:rsidRDefault="00A26C65" w:rsidP="00A26C65">
      <w:pPr>
        <w:pStyle w:val="Lgende"/>
        <w:rPr>
          <w:szCs w:val="22"/>
        </w:rPr>
      </w:pPr>
      <w:bookmarkStart w:id="67" w:name="_Ref72339728"/>
      <w:bookmarkStart w:id="68" w:name="_Toc73027710"/>
      <w:r w:rsidRPr="00A26C65">
        <w:rPr>
          <w:szCs w:val="22"/>
        </w:rPr>
        <w:t xml:space="preserve">Figure </w:t>
      </w:r>
      <w:r w:rsidRPr="00A26C65">
        <w:rPr>
          <w:szCs w:val="22"/>
        </w:rPr>
        <w:fldChar w:fldCharType="begin"/>
      </w:r>
      <w:r w:rsidRPr="00A26C65">
        <w:rPr>
          <w:szCs w:val="22"/>
        </w:rPr>
        <w:instrText xml:space="preserve"> SEQ Figure \* ARABIC </w:instrText>
      </w:r>
      <w:r w:rsidRPr="00A26C65">
        <w:rPr>
          <w:szCs w:val="22"/>
        </w:rPr>
        <w:fldChar w:fldCharType="separate"/>
      </w:r>
      <w:r w:rsidRPr="00A26C65">
        <w:rPr>
          <w:noProof/>
          <w:szCs w:val="22"/>
        </w:rPr>
        <w:t>6</w:t>
      </w:r>
      <w:r w:rsidRPr="00A26C65">
        <w:rPr>
          <w:szCs w:val="22"/>
        </w:rPr>
        <w:fldChar w:fldCharType="end"/>
      </w:r>
      <w:bookmarkEnd w:id="67"/>
      <w:r w:rsidRPr="00A26C65">
        <w:rPr>
          <w:szCs w:val="22"/>
        </w:rPr>
        <w:t xml:space="preserve"> : </w:t>
      </w:r>
      <w:r w:rsidR="00A56FD5" w:rsidRPr="00A26C65">
        <w:rPr>
          <w:szCs w:val="22"/>
        </w:rPr>
        <w:t xml:space="preserve">Distribution des CC obtenus par </w:t>
      </w:r>
      <w:r w:rsidR="007E06AC">
        <w:rPr>
          <w:szCs w:val="22"/>
        </w:rPr>
        <w:t xml:space="preserve">la méthode PCR en temps réel </w:t>
      </w:r>
      <w:proofErr w:type="spellStart"/>
      <w:r w:rsidR="00A56FD5" w:rsidRPr="00A26C65">
        <w:rPr>
          <w:szCs w:val="22"/>
        </w:rPr>
        <w:t>Geno</w:t>
      </w:r>
      <w:r w:rsidR="00A56FD5" w:rsidRPr="00A26C65">
        <w:rPr>
          <w:i/>
          <w:szCs w:val="22"/>
        </w:rPr>
        <w:t>Listeria</w:t>
      </w:r>
      <w:proofErr w:type="spellEnd"/>
      <w:r w:rsidR="00A56FD5" w:rsidRPr="00A26C65">
        <w:rPr>
          <w:szCs w:val="22"/>
        </w:rPr>
        <w:t xml:space="preserve"> sur les 72 souches isolées de la filière viande</w:t>
      </w:r>
      <w:bookmarkEnd w:id="68"/>
    </w:p>
    <w:p w14:paraId="4EBB322A" w14:textId="1A314D44" w:rsidR="00A56FD5" w:rsidRDefault="00A56FD5" w:rsidP="00FA4D29">
      <w:pPr>
        <w:pStyle w:val="Titre4"/>
      </w:pPr>
      <w:r>
        <w:lastRenderedPageBreak/>
        <w:t>A</w:t>
      </w:r>
      <w:r w:rsidRPr="005A74FA">
        <w:t xml:space="preserve">nalyse du panel de </w:t>
      </w:r>
      <w:r w:rsidR="00606553">
        <w:t>306</w:t>
      </w:r>
      <w:r>
        <w:t xml:space="preserve"> souches d’</w:t>
      </w:r>
      <w:proofErr w:type="spellStart"/>
      <w:r>
        <w:t>inclusivité</w:t>
      </w:r>
      <w:proofErr w:type="spellEnd"/>
    </w:p>
    <w:p w14:paraId="62365B2A" w14:textId="4046E9F0" w:rsidR="00A56FD5" w:rsidRDefault="00A56FD5" w:rsidP="00A56FD5">
      <w:r w:rsidRPr="00E233BD">
        <w:t xml:space="preserve">Les </w:t>
      </w:r>
      <w:r w:rsidR="00606553">
        <w:t>306</w:t>
      </w:r>
      <w:r>
        <w:t xml:space="preserve"> souches du panel d’</w:t>
      </w:r>
      <w:proofErr w:type="spellStart"/>
      <w:r>
        <w:t>inclusivité</w:t>
      </w:r>
      <w:proofErr w:type="spellEnd"/>
      <w:r>
        <w:t xml:space="preserve"> (section 2.1.6) sont réparties en 35 </w:t>
      </w:r>
      <w:proofErr w:type="spellStart"/>
      <w:r>
        <w:t>CCs</w:t>
      </w:r>
      <w:proofErr w:type="spellEnd"/>
      <w:r>
        <w:t xml:space="preserve"> et 67</w:t>
      </w:r>
      <w:r w:rsidRPr="00E233BD">
        <w:t xml:space="preserve"> </w:t>
      </w:r>
      <w:proofErr w:type="spellStart"/>
      <w:r w:rsidRPr="00E233BD">
        <w:t>STs</w:t>
      </w:r>
      <w:proofErr w:type="spellEnd"/>
      <w:r w:rsidRPr="00E233BD">
        <w:t xml:space="preserve"> appartenant aux </w:t>
      </w:r>
      <w:proofErr w:type="spellStart"/>
      <w:r w:rsidRPr="00E233BD">
        <w:t>CCs</w:t>
      </w:r>
      <w:proofErr w:type="spellEnd"/>
      <w:r w:rsidRPr="00E233BD">
        <w:t xml:space="preserve"> et </w:t>
      </w:r>
      <w:proofErr w:type="spellStart"/>
      <w:r w:rsidRPr="00E233BD">
        <w:t>STs</w:t>
      </w:r>
      <w:proofErr w:type="spellEnd"/>
      <w:r w:rsidRPr="00E233BD">
        <w:t xml:space="preserve"> ciblés par cette méthode, ainsi que </w:t>
      </w:r>
      <w:r>
        <w:t xml:space="preserve">les </w:t>
      </w:r>
      <w:r w:rsidRPr="00E233BD">
        <w:t xml:space="preserve">5 </w:t>
      </w:r>
      <w:proofErr w:type="spellStart"/>
      <w:r w:rsidRPr="00E233BD">
        <w:t>CCs</w:t>
      </w:r>
      <w:proofErr w:type="spellEnd"/>
      <w:r w:rsidRPr="00E233BD">
        <w:t xml:space="preserve"> et 8 </w:t>
      </w:r>
      <w:proofErr w:type="spellStart"/>
      <w:r w:rsidRPr="00E233BD">
        <w:t>STs</w:t>
      </w:r>
      <w:proofErr w:type="spellEnd"/>
      <w:r w:rsidRPr="00E233BD">
        <w:t xml:space="preserve"> </w:t>
      </w:r>
      <w:proofErr w:type="spellStart"/>
      <w:r w:rsidRPr="00E233BD">
        <w:t>co</w:t>
      </w:r>
      <w:proofErr w:type="spellEnd"/>
      <w:r w:rsidRPr="00E233BD">
        <w:t>-détectés. Au sein du panel de s</w:t>
      </w:r>
      <w:r>
        <w:t>ouches détaillée</w:t>
      </w:r>
      <w:r w:rsidR="00606553">
        <w:t>s dans l</w:t>
      </w:r>
      <w:r w:rsidR="000327CA">
        <w:t xml:space="preserve">e </w:t>
      </w:r>
      <w:r w:rsidR="000327CA">
        <w:fldChar w:fldCharType="begin"/>
      </w:r>
      <w:r w:rsidR="000327CA">
        <w:instrText xml:space="preserve"> REF _Ref72339563 \h </w:instrText>
      </w:r>
      <w:r w:rsidR="000327CA">
        <w:fldChar w:fldCharType="separate"/>
      </w:r>
      <w:r w:rsidR="000327CA">
        <w:t xml:space="preserve">Tableau </w:t>
      </w:r>
      <w:r w:rsidR="000327CA">
        <w:rPr>
          <w:noProof/>
        </w:rPr>
        <w:t>8</w:t>
      </w:r>
      <w:r w:rsidR="000327CA">
        <w:fldChar w:fldCharType="end"/>
      </w:r>
      <w:r w:rsidR="00606553">
        <w:t xml:space="preserve"> </w:t>
      </w:r>
      <w:r w:rsidR="000327CA">
        <w:t xml:space="preserve"> </w:t>
      </w:r>
      <w:r w:rsidR="00606553">
        <w:t>et en annexe 2</w:t>
      </w:r>
      <w:r w:rsidRPr="00E233BD">
        <w:t xml:space="preserve">, les </w:t>
      </w:r>
      <w:proofErr w:type="spellStart"/>
      <w:r w:rsidRPr="00E233BD">
        <w:t>CCs</w:t>
      </w:r>
      <w:proofErr w:type="spellEnd"/>
      <w:r w:rsidRPr="00E233BD">
        <w:t xml:space="preserve"> obtenus via </w:t>
      </w:r>
      <w:r w:rsidR="000A0FE8">
        <w:t xml:space="preserve">la méthode de PCR en temps réel </w:t>
      </w:r>
      <w:proofErr w:type="spellStart"/>
      <w:r w:rsidRPr="00E233BD">
        <w:t>Geno</w:t>
      </w:r>
      <w:r w:rsidRPr="00B73A6A">
        <w:rPr>
          <w:i/>
        </w:rPr>
        <w:t>Listeria</w:t>
      </w:r>
      <w:proofErr w:type="spellEnd"/>
      <w:r w:rsidRPr="00E233BD">
        <w:t xml:space="preserve"> correspondent </w:t>
      </w:r>
      <w:r>
        <w:t>à ceux obtenus par typage MLST sur la base du génome complet des souches</w:t>
      </w:r>
      <w:r w:rsidRPr="00E233BD">
        <w:t>.</w:t>
      </w:r>
      <w:r>
        <w:t xml:space="preserve"> Les 18 souches appartenant aux </w:t>
      </w:r>
      <w:r w:rsidRPr="00E233BD">
        <w:t xml:space="preserve">5 </w:t>
      </w:r>
      <w:proofErr w:type="spellStart"/>
      <w:r w:rsidRPr="00E233BD">
        <w:t>CCs</w:t>
      </w:r>
      <w:proofErr w:type="spellEnd"/>
      <w:r w:rsidRPr="00E233BD">
        <w:t xml:space="preserve"> et 8 </w:t>
      </w:r>
      <w:proofErr w:type="spellStart"/>
      <w:r w:rsidRPr="00E233BD">
        <w:t>STs</w:t>
      </w:r>
      <w:proofErr w:type="spellEnd"/>
      <w:r w:rsidRPr="00E233BD">
        <w:t xml:space="preserve"> </w:t>
      </w:r>
      <w:proofErr w:type="spellStart"/>
      <w:r w:rsidRPr="00E233BD">
        <w:t>co</w:t>
      </w:r>
      <w:proofErr w:type="spellEnd"/>
      <w:r w:rsidRPr="00E233BD">
        <w:t>-détectés</w:t>
      </w:r>
      <w:r>
        <w:t>: CC19-ST19-173, CC88, CC183-ST183-382, ST231, CC321, CC403 ont bien été détectées par leur</w:t>
      </w:r>
      <w:r w:rsidR="000A0FE8">
        <w:t>s</w:t>
      </w:r>
      <w:r>
        <w:t xml:space="preserve"> </w:t>
      </w:r>
      <w:proofErr w:type="spellStart"/>
      <w:r w:rsidR="00885DBA">
        <w:t>PCR</w:t>
      </w:r>
      <w:r w:rsidR="000A0FE8">
        <w:t>s</w:t>
      </w:r>
      <w:proofErr w:type="spellEnd"/>
      <w:r w:rsidR="000A0FE8">
        <w:t xml:space="preserve"> en temps réel</w:t>
      </w:r>
      <w:r w:rsidR="00885DBA">
        <w:t xml:space="preserve"> cibles respectives (Annexe 3,</w:t>
      </w:r>
      <w:r w:rsidR="00A26C65">
        <w:t xml:space="preserve"> </w:t>
      </w:r>
      <w:r w:rsidR="00A26C65">
        <w:fldChar w:fldCharType="begin"/>
      </w:r>
      <w:r w:rsidR="00A26C65">
        <w:instrText xml:space="preserve"> REF _Ref72339766 \h </w:instrText>
      </w:r>
      <w:r w:rsidR="00A26C65">
        <w:fldChar w:fldCharType="separate"/>
      </w:r>
      <w:r w:rsidR="00A26C65">
        <w:t xml:space="preserve">Tableau </w:t>
      </w:r>
      <w:r w:rsidR="00A26C65">
        <w:rPr>
          <w:noProof/>
        </w:rPr>
        <w:t>9</w:t>
      </w:r>
      <w:r w:rsidR="00A26C65">
        <w:fldChar w:fldCharType="end"/>
      </w:r>
      <w:r>
        <w:t>).</w:t>
      </w:r>
    </w:p>
    <w:p w14:paraId="5A5446FA" w14:textId="77AC9888" w:rsidR="00A56FD5" w:rsidRDefault="00A26C65" w:rsidP="00A26C65">
      <w:pPr>
        <w:pStyle w:val="Lgende"/>
      </w:pPr>
      <w:bookmarkStart w:id="69" w:name="_Ref72339766"/>
      <w:bookmarkStart w:id="70" w:name="_Toc73027719"/>
      <w:r>
        <w:t xml:space="preserve">Tableau </w:t>
      </w:r>
      <w:r w:rsidR="00657B21">
        <w:fldChar w:fldCharType="begin"/>
      </w:r>
      <w:r w:rsidR="00657B21">
        <w:instrText xml:space="preserve"> SEQ Tableau \* ARABIC </w:instrText>
      </w:r>
      <w:r w:rsidR="00657B21">
        <w:fldChar w:fldCharType="separate"/>
      </w:r>
      <w:r w:rsidR="003E5038">
        <w:rPr>
          <w:noProof/>
        </w:rPr>
        <w:t>9</w:t>
      </w:r>
      <w:r w:rsidR="00657B21">
        <w:rPr>
          <w:noProof/>
        </w:rPr>
        <w:fldChar w:fldCharType="end"/>
      </w:r>
      <w:bookmarkEnd w:id="69"/>
      <w:r>
        <w:t> :</w:t>
      </w:r>
      <w:r w:rsidR="00A56FD5">
        <w:t xml:space="preserve"> Synthèse des résultats d’</w:t>
      </w:r>
      <w:proofErr w:type="spellStart"/>
      <w:r w:rsidR="00A56FD5">
        <w:t>inclusivité</w:t>
      </w:r>
      <w:bookmarkEnd w:id="70"/>
      <w:proofErr w:type="spellEnd"/>
    </w:p>
    <w:p w14:paraId="6E33D429" w14:textId="77777777" w:rsidR="00A56FD5" w:rsidRDefault="00A56FD5" w:rsidP="00A56FD5">
      <w:pPr>
        <w:rPr>
          <w:iCs/>
        </w:rPr>
      </w:pPr>
      <w:r w:rsidRPr="00CA1256">
        <w:rPr>
          <w:noProof/>
        </w:rPr>
        <w:drawing>
          <wp:inline distT="0" distB="0" distL="0" distR="0" wp14:anchorId="3E3FBB43" wp14:editId="2DFFC6F8">
            <wp:extent cx="5763260" cy="1514381"/>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7">
                      <a:extLst>
                        <a:ext uri="{28A0092B-C50C-407E-A947-70E740481C1C}">
                          <a14:useLocalDpi xmlns:a14="http://schemas.microsoft.com/office/drawing/2010/main" val="0"/>
                        </a:ext>
                      </a:extLst>
                    </a:blip>
                    <a:srcRect t="5282" b="-1"/>
                    <a:stretch/>
                  </pic:blipFill>
                  <pic:spPr bwMode="auto">
                    <a:xfrm>
                      <a:off x="0" y="0"/>
                      <a:ext cx="5765165" cy="1514882"/>
                    </a:xfrm>
                    <a:prstGeom prst="rect">
                      <a:avLst/>
                    </a:prstGeom>
                    <a:noFill/>
                    <a:ln>
                      <a:noFill/>
                    </a:ln>
                    <a:extLst>
                      <a:ext uri="{53640926-AAD7-44D8-BBD7-CCE9431645EC}">
                        <a14:shadowObscured xmlns:a14="http://schemas.microsoft.com/office/drawing/2010/main"/>
                      </a:ext>
                    </a:extLst>
                  </pic:spPr>
                </pic:pic>
              </a:graphicData>
            </a:graphic>
          </wp:inline>
        </w:drawing>
      </w:r>
    </w:p>
    <w:p w14:paraId="555F25F3" w14:textId="7BB31B1E" w:rsidR="00A56FD5" w:rsidRDefault="00A56FD5" w:rsidP="00A56FD5">
      <w:r>
        <w:t>Dans ce panel</w:t>
      </w:r>
      <w:r w:rsidR="000A0FE8">
        <w:t>,</w:t>
      </w:r>
      <w:r>
        <w:t xml:space="preserve"> 78,1% (n=239) des souches n’ont pas été utilisées pour la définition </w:t>
      </w:r>
      <w:r w:rsidRPr="00F50A1E">
        <w:rPr>
          <w:i/>
        </w:rPr>
        <w:t>in silico</w:t>
      </w:r>
      <w:r>
        <w:t xml:space="preserve"> des sondes. Leur génome ne fait donc pas partie de ceux utilisés</w:t>
      </w:r>
      <w:r w:rsidRPr="00F50A1E">
        <w:t xml:space="preserve"> pour la s</w:t>
      </w:r>
      <w:r>
        <w:t>élection des ré</w:t>
      </w:r>
      <w:r w:rsidRPr="00F50A1E">
        <w:t>gi</w:t>
      </w:r>
      <w:r>
        <w:t>ons gé</w:t>
      </w:r>
      <w:r w:rsidRPr="00F50A1E">
        <w:t>nomique</w:t>
      </w:r>
      <w:r>
        <w:t>s</w:t>
      </w:r>
      <w:r w:rsidRPr="00F50A1E">
        <w:t xml:space="preserve"> d’intérêt</w:t>
      </w:r>
      <w:r>
        <w:t xml:space="preserve"> (section 2.1). L’utilisation de souches, dont les génomes n’ont pas été exploités pour la définition des sondes, permet d’étendre la diversité génétique des souches servant à évaluer la méthode et de s’affranchir du biais que génère l’utilisation d’un mê</w:t>
      </w:r>
      <w:r w:rsidR="000A0FE8">
        <w:t>me panel pour la définition et l</w:t>
      </w:r>
      <w:r>
        <w:t xml:space="preserve">’évaluation de </w:t>
      </w:r>
      <w:r w:rsidR="000A0FE8">
        <w:t>celle-ci</w:t>
      </w:r>
      <w:r>
        <w:t>. Le maintien de 67 souches dont le génome a été utilisé pour la définition des sondes permet cependant de valider que les données de génomique utilisées sont bien conformes aux résultats des tests PCR</w:t>
      </w:r>
      <w:r w:rsidR="000A0FE8">
        <w:t xml:space="preserve"> en temps réel</w:t>
      </w:r>
      <w:r>
        <w:t xml:space="preserve"> sur ADN.</w:t>
      </w:r>
    </w:p>
    <w:p w14:paraId="5BF86764" w14:textId="2C82D221" w:rsidR="00A56FD5" w:rsidRDefault="00A56FD5" w:rsidP="00FA4D29">
      <w:pPr>
        <w:pStyle w:val="Titre4"/>
      </w:pPr>
      <w:r>
        <w:t>A</w:t>
      </w:r>
      <w:r w:rsidRPr="005A74FA">
        <w:t xml:space="preserve">nalyse du panel de </w:t>
      </w:r>
      <w:r>
        <w:t>86 souches d’exclusivité</w:t>
      </w:r>
    </w:p>
    <w:p w14:paraId="6D46D818" w14:textId="532114D8" w:rsidR="00A56FD5" w:rsidRDefault="00A56FD5" w:rsidP="00A56FD5">
      <w:r>
        <w:t>Les tests d’</w:t>
      </w:r>
      <w:proofErr w:type="spellStart"/>
      <w:r>
        <w:t>inclusivité</w:t>
      </w:r>
      <w:proofErr w:type="spellEnd"/>
      <w:r>
        <w:t xml:space="preserve"> ont été réalisés intégralement pour 27 des 30 couples de sondes et d’amorces du schéma </w:t>
      </w:r>
      <w:proofErr w:type="spellStart"/>
      <w:r>
        <w:t>Geno</w:t>
      </w:r>
      <w:r w:rsidRPr="00E77960">
        <w:rPr>
          <w:i/>
        </w:rPr>
        <w:t>Listeria</w:t>
      </w:r>
      <w:proofErr w:type="spellEnd"/>
      <w:r>
        <w:t xml:space="preserve">. Pour les trois tests de PCR </w:t>
      </w:r>
      <w:r w:rsidRPr="009F6D6D">
        <w:t>CC11-ST451, CC19-ST398-802</w:t>
      </w:r>
      <w:r>
        <w:t>-1308</w:t>
      </w:r>
      <w:r w:rsidRPr="009F6D6D">
        <w:t xml:space="preserve"> et CC199 </w:t>
      </w:r>
      <w:r>
        <w:t xml:space="preserve">un panel d’exclusivité </w:t>
      </w:r>
      <w:r w:rsidR="00885DBA">
        <w:t>plus limité a été testé (</w:t>
      </w:r>
      <w:r w:rsidR="000327CA">
        <w:fldChar w:fldCharType="begin"/>
      </w:r>
      <w:r w:rsidR="000327CA">
        <w:instrText xml:space="preserve"> REF _Ref72339814 \h </w:instrText>
      </w:r>
      <w:r w:rsidR="000327CA">
        <w:fldChar w:fldCharType="separate"/>
      </w:r>
      <w:r w:rsidR="000327CA">
        <w:t xml:space="preserve">Tableau </w:t>
      </w:r>
      <w:r w:rsidR="000327CA">
        <w:rPr>
          <w:noProof/>
        </w:rPr>
        <w:t>10</w:t>
      </w:r>
      <w:r w:rsidR="000327CA">
        <w:fldChar w:fldCharType="end"/>
      </w:r>
      <w:r>
        <w:t>).</w:t>
      </w:r>
    </w:p>
    <w:p w14:paraId="51DCFD10" w14:textId="68016648" w:rsidR="00A56FD5" w:rsidRDefault="00A56FD5" w:rsidP="00A56FD5">
      <w:r>
        <w:t>Parmi les 25 souches « non-famille »</w:t>
      </w:r>
      <w:r w:rsidR="000A0FE8">
        <w:t>,</w:t>
      </w:r>
      <w:r>
        <w:t xml:space="preserve"> toutes les souches présentent un résultat négatif pour toutes les PCR du schéma </w:t>
      </w:r>
      <w:proofErr w:type="spellStart"/>
      <w:r>
        <w:t>Geno</w:t>
      </w:r>
      <w:r w:rsidRPr="00E36F97">
        <w:rPr>
          <w:i/>
        </w:rPr>
        <w:t>Listeria</w:t>
      </w:r>
      <w:proofErr w:type="spellEnd"/>
      <w:r>
        <w:t xml:space="preserve"> incluant les PCR </w:t>
      </w:r>
      <w:r w:rsidR="000A0FE8">
        <w:t xml:space="preserve">en temps réel </w:t>
      </w:r>
      <w:proofErr w:type="spellStart"/>
      <w:r w:rsidRPr="000A0FE8">
        <w:rPr>
          <w:i/>
        </w:rPr>
        <w:t>prs</w:t>
      </w:r>
      <w:proofErr w:type="spellEnd"/>
      <w:r>
        <w:t xml:space="preserve"> et </w:t>
      </w:r>
      <w:proofErr w:type="spellStart"/>
      <w:r w:rsidRPr="000A0FE8">
        <w:rPr>
          <w:i/>
        </w:rPr>
        <w:t>plca</w:t>
      </w:r>
      <w:proofErr w:type="spellEnd"/>
      <w:r>
        <w:t xml:space="preserve"> (contrôles de PCR identifiant respectivement le genre et l'espèce des souches testées).</w:t>
      </w:r>
    </w:p>
    <w:p w14:paraId="25E541D4" w14:textId="3632955C" w:rsidR="00A56FD5" w:rsidRDefault="00A56FD5" w:rsidP="00A56FD5">
      <w:r>
        <w:t xml:space="preserve">Parmi les 26 souches « non-espèce » analysées, 14 souches présentent un résultat négatif pour les tests PCR du schéma </w:t>
      </w:r>
      <w:proofErr w:type="spellStart"/>
      <w:r>
        <w:t>Geno</w:t>
      </w:r>
      <w:r w:rsidRPr="00E77960">
        <w:rPr>
          <w:i/>
        </w:rPr>
        <w:t>Listeria</w:t>
      </w:r>
      <w:proofErr w:type="spellEnd"/>
      <w:r>
        <w:t xml:space="preserve"> ainsi que pour </w:t>
      </w:r>
      <w:r w:rsidR="000A0FE8">
        <w:t xml:space="preserve">le test PCR en temps réel </w:t>
      </w:r>
      <w:proofErr w:type="spellStart"/>
      <w:r w:rsidRPr="000A0FE8">
        <w:rPr>
          <w:i/>
        </w:rPr>
        <w:t>plca</w:t>
      </w:r>
      <w:proofErr w:type="spellEnd"/>
      <w:r>
        <w:t>, mais positif pour le test</w:t>
      </w:r>
      <w:r w:rsidR="000A0FE8" w:rsidRPr="000A0FE8">
        <w:t xml:space="preserve"> </w:t>
      </w:r>
      <w:r w:rsidR="000A0FE8">
        <w:t>en temps réel</w:t>
      </w:r>
      <w:r>
        <w:t xml:space="preserve"> PCR </w:t>
      </w:r>
      <w:proofErr w:type="spellStart"/>
      <w:r w:rsidRPr="000A0FE8">
        <w:rPr>
          <w:i/>
        </w:rPr>
        <w:t>prs</w:t>
      </w:r>
      <w:proofErr w:type="spellEnd"/>
      <w:r>
        <w:t xml:space="preserve">. Ces souches appartiennent aux sous-genres </w:t>
      </w:r>
      <w:r w:rsidRPr="00DD7BBF">
        <w:rPr>
          <w:i/>
        </w:rPr>
        <w:t>Listeria</w:t>
      </w:r>
      <w:r>
        <w:t xml:space="preserve"> (</w:t>
      </w:r>
      <w:r w:rsidR="0080229C">
        <w:fldChar w:fldCharType="begin"/>
      </w:r>
      <w:r w:rsidR="0080229C">
        <w:instrText xml:space="preserve"> REF _Ref72339688 \h </w:instrText>
      </w:r>
      <w:r w:rsidR="0080229C">
        <w:fldChar w:fldCharType="separate"/>
      </w:r>
      <w:r w:rsidR="0080229C" w:rsidRPr="00A26C65">
        <w:rPr>
          <w:szCs w:val="22"/>
        </w:rPr>
        <w:t xml:space="preserve">Figure </w:t>
      </w:r>
      <w:r w:rsidR="0080229C">
        <w:rPr>
          <w:noProof/>
          <w:szCs w:val="22"/>
        </w:rPr>
        <w:t>5</w:t>
      </w:r>
      <w:r w:rsidR="0080229C">
        <w:fldChar w:fldCharType="end"/>
      </w:r>
      <w:r>
        <w:t xml:space="preserve">) et aux espèces </w:t>
      </w:r>
      <w:r w:rsidRPr="00E77960">
        <w:rPr>
          <w:i/>
        </w:rPr>
        <w:t xml:space="preserve">L. </w:t>
      </w:r>
      <w:proofErr w:type="spellStart"/>
      <w:r w:rsidRPr="00E77960">
        <w:rPr>
          <w:i/>
        </w:rPr>
        <w:t>innocua</w:t>
      </w:r>
      <w:proofErr w:type="spellEnd"/>
      <w:r w:rsidRPr="00E77960">
        <w:rPr>
          <w:i/>
        </w:rPr>
        <w:t xml:space="preserve">, L. </w:t>
      </w:r>
      <w:proofErr w:type="spellStart"/>
      <w:r w:rsidRPr="00E77960">
        <w:rPr>
          <w:i/>
        </w:rPr>
        <w:lastRenderedPageBreak/>
        <w:t>seeligeri</w:t>
      </w:r>
      <w:proofErr w:type="spellEnd"/>
      <w:r w:rsidRPr="00E77960">
        <w:rPr>
          <w:i/>
        </w:rPr>
        <w:t xml:space="preserve">, L. </w:t>
      </w:r>
      <w:proofErr w:type="spellStart"/>
      <w:r w:rsidRPr="00E77960">
        <w:rPr>
          <w:i/>
        </w:rPr>
        <w:t>ivanovii</w:t>
      </w:r>
      <w:proofErr w:type="spellEnd"/>
      <w:r w:rsidRPr="00E77960">
        <w:rPr>
          <w:i/>
        </w:rPr>
        <w:t xml:space="preserve">, L. </w:t>
      </w:r>
      <w:proofErr w:type="spellStart"/>
      <w:r w:rsidRPr="00E77960">
        <w:rPr>
          <w:i/>
        </w:rPr>
        <w:t>welshimeret</w:t>
      </w:r>
      <w:proofErr w:type="spellEnd"/>
      <w:r w:rsidRPr="00E77960">
        <w:rPr>
          <w:i/>
        </w:rPr>
        <w:t xml:space="preserve"> L. </w:t>
      </w:r>
      <w:proofErr w:type="spellStart"/>
      <w:r w:rsidRPr="00E77960">
        <w:rPr>
          <w:i/>
        </w:rPr>
        <w:t>marthii</w:t>
      </w:r>
      <w:proofErr w:type="spellEnd"/>
      <w:r>
        <w:t>. Ces résultats confirment ceux obtenus par</w:t>
      </w:r>
      <w:r w:rsidR="0080229C">
        <w:t xml:space="preserve"> </w:t>
      </w:r>
      <w:r w:rsidR="0080229C">
        <w:fldChar w:fldCharType="begin"/>
      </w:r>
      <w:r w:rsidR="0080229C">
        <w:instrText xml:space="preserve"> ADDIN EN.CITE &lt;EndNote&gt;&lt;Cite&gt;&lt;Author&gt;Vitullo&lt;/Author&gt;&lt;Year&gt;2013&lt;/Year&gt;&lt;RecNum&gt;1292&lt;/RecNum&gt;&lt;DisplayText&gt;(Vitullo&lt;style face="italic"&gt; et al.&lt;/style&gt;, 2013)&lt;/DisplayText&gt;&lt;record&gt;&lt;rec-number&gt;1292&lt;/rec-number&gt;&lt;foreign-keys&gt;&lt;key app="EN" db-id="xrawss2d999aevez25svdvwj909sxsvw00x2" timestamp="1621414727"&gt;1292&lt;/key&gt;&lt;/foreign-keys&gt;&lt;ref-type name="Journal Article"&gt;17&lt;/ref-type&gt;&lt;contributors&gt;&lt;authors&gt;&lt;author&gt;Vitullo, Monia&lt;/author&gt;&lt;author&gt;Grant, Kathie Ann&lt;/author&gt;&lt;author&gt;Sammarco, Michela Lucia&lt;/author&gt;&lt;author&gt;Tamburro, Manuela&lt;/author&gt;&lt;author&gt;Ripabelli, Giancarlo&lt;/author&gt;&lt;author&gt;Amar, Corinne Francoise Laurence&lt;/author&gt;&lt;/authors&gt;&lt;/contributors&gt;&lt;titles&gt;&lt;title&gt;Real-time PCRs assay for serogrouping Listeria monocytogenes and differentiation from other Listeria spp&lt;/title&gt;&lt;secondary-title&gt;Molecular and cellular probes&lt;/secondary-title&gt;&lt;/titles&gt;&lt;periodical&gt;&lt;full-title&gt;Molecular and cellular probes&lt;/full-title&gt;&lt;/periodical&gt;&lt;pages&gt;68-70&lt;/pages&gt;&lt;volume&gt;27&lt;/volume&gt;&lt;number&gt;1&lt;/number&gt;&lt;dates&gt;&lt;year&gt;2013&lt;/year&gt;&lt;/dates&gt;&lt;isbn&gt;0890-8508&lt;/isbn&gt;&lt;urls&gt;&lt;/urls&gt;&lt;/record&gt;&lt;/Cite&gt;&lt;/EndNote&gt;</w:instrText>
      </w:r>
      <w:r w:rsidR="0080229C">
        <w:fldChar w:fldCharType="separate"/>
      </w:r>
      <w:r w:rsidR="0080229C">
        <w:rPr>
          <w:noProof/>
        </w:rPr>
        <w:t>Vitullo</w:t>
      </w:r>
      <w:r w:rsidR="0080229C" w:rsidRPr="0080229C">
        <w:rPr>
          <w:i/>
          <w:noProof/>
        </w:rPr>
        <w:t xml:space="preserve"> et al.</w:t>
      </w:r>
      <w:r w:rsidR="0080229C">
        <w:rPr>
          <w:noProof/>
        </w:rPr>
        <w:t xml:space="preserve"> </w:t>
      </w:r>
      <w:r w:rsidR="000A0FE8">
        <w:rPr>
          <w:noProof/>
        </w:rPr>
        <w:t>(</w:t>
      </w:r>
      <w:r w:rsidR="0080229C">
        <w:rPr>
          <w:noProof/>
        </w:rPr>
        <w:t>2013)</w:t>
      </w:r>
      <w:r w:rsidR="0080229C">
        <w:fldChar w:fldCharType="end"/>
      </w:r>
      <w:r w:rsidR="0080229C">
        <w:t xml:space="preserve"> </w:t>
      </w:r>
      <w:r>
        <w:t xml:space="preserve">pour </w:t>
      </w:r>
      <w:proofErr w:type="spellStart"/>
      <w:r w:rsidRPr="000A0FE8">
        <w:rPr>
          <w:i/>
        </w:rPr>
        <w:t>prs</w:t>
      </w:r>
      <w:proofErr w:type="spellEnd"/>
      <w:r>
        <w:t xml:space="preserve"> sur ces espèces. L'espèce </w:t>
      </w:r>
      <w:r w:rsidRPr="00E77960">
        <w:rPr>
          <w:i/>
        </w:rPr>
        <w:t xml:space="preserve">L. </w:t>
      </w:r>
      <w:proofErr w:type="spellStart"/>
      <w:r w:rsidRPr="00E77960">
        <w:rPr>
          <w:i/>
        </w:rPr>
        <w:t>marthii</w:t>
      </w:r>
      <w:proofErr w:type="spellEnd"/>
      <w:r>
        <w:t>, qui n'avait pas été testée par</w:t>
      </w:r>
      <w:r w:rsidR="0080229C">
        <w:t xml:space="preserve"> </w:t>
      </w:r>
      <w:r w:rsidR="0080229C">
        <w:fldChar w:fldCharType="begin"/>
      </w:r>
      <w:r w:rsidR="0080229C">
        <w:instrText xml:space="preserve"> ADDIN EN.CITE &lt;EndNote&gt;&lt;Cite&gt;&lt;Author&gt;Vitullo&lt;/Author&gt;&lt;Year&gt;2013&lt;/Year&gt;&lt;RecNum&gt;1292&lt;/RecNum&gt;&lt;DisplayText&gt;(Vitullo&lt;style face="italic"&gt; et al.&lt;/style&gt;, 2013)&lt;/DisplayText&gt;&lt;record&gt;&lt;rec-number&gt;1292&lt;/rec-number&gt;&lt;foreign-keys&gt;&lt;key app="EN" db-id="xrawss2d999aevez25svdvwj909sxsvw00x2" timestamp="1621414727"&gt;1292&lt;/key&gt;&lt;/foreign-keys&gt;&lt;ref-type name="Journal Article"&gt;17&lt;/ref-type&gt;&lt;contributors&gt;&lt;authors&gt;&lt;author&gt;Vitullo, Monia&lt;/author&gt;&lt;author&gt;Grant, Kathie Ann&lt;/author&gt;&lt;author&gt;Sammarco, Michela Lucia&lt;/author&gt;&lt;author&gt;Tamburro, Manuela&lt;/author&gt;&lt;author&gt;Ripabelli, Giancarlo&lt;/author&gt;&lt;author&gt;Amar, Corinne Francoise Laurence&lt;/author&gt;&lt;/authors&gt;&lt;/contributors&gt;&lt;titles&gt;&lt;title&gt;Real-time PCRs assay for serogrouping Listeria monocytogenes and differentiation from other Listeria spp&lt;/title&gt;&lt;secondary-title&gt;Molecular and cellular probes&lt;/secondary-title&gt;&lt;/titles&gt;&lt;periodical&gt;&lt;full-title&gt;Molecular and cellular probes&lt;/full-title&gt;&lt;/periodical&gt;&lt;pages&gt;68-70&lt;/pages&gt;&lt;volume&gt;27&lt;/volume&gt;&lt;number&gt;1&lt;/number&gt;&lt;dates&gt;&lt;year&gt;2013&lt;/year&gt;&lt;/dates&gt;&lt;isbn&gt;0890-8508&lt;/isbn&gt;&lt;urls&gt;&lt;/urls&gt;&lt;/record&gt;&lt;/Cite&gt;&lt;/EndNote&gt;</w:instrText>
      </w:r>
      <w:r w:rsidR="0080229C">
        <w:fldChar w:fldCharType="separate"/>
      </w:r>
      <w:r w:rsidR="0080229C">
        <w:rPr>
          <w:noProof/>
        </w:rPr>
        <w:t>Vitullo</w:t>
      </w:r>
      <w:r w:rsidR="0080229C" w:rsidRPr="0080229C">
        <w:rPr>
          <w:i/>
          <w:noProof/>
        </w:rPr>
        <w:t xml:space="preserve"> et al.</w:t>
      </w:r>
      <w:r w:rsidR="0080229C">
        <w:rPr>
          <w:noProof/>
        </w:rPr>
        <w:t xml:space="preserve"> </w:t>
      </w:r>
      <w:r w:rsidR="000A0FE8">
        <w:rPr>
          <w:noProof/>
        </w:rPr>
        <w:t>(</w:t>
      </w:r>
      <w:r w:rsidR="0080229C">
        <w:rPr>
          <w:noProof/>
        </w:rPr>
        <w:t>2013)</w:t>
      </w:r>
      <w:r w:rsidR="0080229C">
        <w:fldChar w:fldCharType="end"/>
      </w:r>
      <w:r>
        <w:t xml:space="preserve">, sort également positive pour </w:t>
      </w:r>
      <w:proofErr w:type="spellStart"/>
      <w:r w:rsidRPr="000A0FE8">
        <w:rPr>
          <w:i/>
        </w:rPr>
        <w:t>prs</w:t>
      </w:r>
      <w:proofErr w:type="spellEnd"/>
      <w:r>
        <w:t xml:space="preserve"> (Annexe </w:t>
      </w:r>
      <w:r w:rsidR="002C3D77">
        <w:t>4</w:t>
      </w:r>
      <w:r>
        <w:t>).</w:t>
      </w:r>
    </w:p>
    <w:p w14:paraId="671B34E2" w14:textId="51D3574D" w:rsidR="00A56FD5" w:rsidRDefault="00A56FD5" w:rsidP="00A56FD5">
      <w:r>
        <w:t xml:space="preserve">Les 12 autres souches « non-espèce » présentent un résultat négatif pour tous les tests PCR du schéma </w:t>
      </w:r>
      <w:proofErr w:type="spellStart"/>
      <w:r>
        <w:t>Geno</w:t>
      </w:r>
      <w:r w:rsidRPr="00E36F97">
        <w:rPr>
          <w:i/>
        </w:rPr>
        <w:t>Listeria</w:t>
      </w:r>
      <w:proofErr w:type="spellEnd"/>
      <w:r>
        <w:t xml:space="preserve"> ainsi que pour </w:t>
      </w:r>
      <w:proofErr w:type="spellStart"/>
      <w:r w:rsidRPr="000A0FE8">
        <w:rPr>
          <w:i/>
        </w:rPr>
        <w:t>prs</w:t>
      </w:r>
      <w:proofErr w:type="spellEnd"/>
      <w:r>
        <w:t xml:space="preserve"> et </w:t>
      </w:r>
      <w:proofErr w:type="spellStart"/>
      <w:r w:rsidRPr="000A0FE8">
        <w:rPr>
          <w:i/>
        </w:rPr>
        <w:t>plca</w:t>
      </w:r>
      <w:proofErr w:type="spellEnd"/>
      <w:r>
        <w:t xml:space="preserve">. Ces souches appartiennent aux espèces </w:t>
      </w:r>
      <w:r w:rsidRPr="00E77960">
        <w:rPr>
          <w:i/>
        </w:rPr>
        <w:t xml:space="preserve">L. </w:t>
      </w:r>
      <w:proofErr w:type="spellStart"/>
      <w:r w:rsidRPr="00E77960">
        <w:rPr>
          <w:i/>
        </w:rPr>
        <w:t>booria</w:t>
      </w:r>
      <w:proofErr w:type="spellEnd"/>
      <w:r w:rsidRPr="00E77960">
        <w:rPr>
          <w:i/>
        </w:rPr>
        <w:t xml:space="preserve">, L. </w:t>
      </w:r>
      <w:proofErr w:type="spellStart"/>
      <w:r w:rsidRPr="00E77960">
        <w:rPr>
          <w:i/>
        </w:rPr>
        <w:t>newyorkensis</w:t>
      </w:r>
      <w:proofErr w:type="spellEnd"/>
      <w:r w:rsidRPr="00E77960">
        <w:rPr>
          <w:i/>
        </w:rPr>
        <w:t xml:space="preserve">, L. </w:t>
      </w:r>
      <w:proofErr w:type="spellStart"/>
      <w:r w:rsidRPr="00E77960">
        <w:rPr>
          <w:i/>
        </w:rPr>
        <w:t>riparia</w:t>
      </w:r>
      <w:proofErr w:type="spellEnd"/>
      <w:r w:rsidRPr="00E77960">
        <w:rPr>
          <w:i/>
        </w:rPr>
        <w:t xml:space="preserve">, L. </w:t>
      </w:r>
      <w:proofErr w:type="spellStart"/>
      <w:r w:rsidRPr="00E77960">
        <w:rPr>
          <w:i/>
        </w:rPr>
        <w:t>grandensis</w:t>
      </w:r>
      <w:proofErr w:type="spellEnd"/>
      <w:r w:rsidRPr="00E77960">
        <w:rPr>
          <w:i/>
        </w:rPr>
        <w:t xml:space="preserve">, L. </w:t>
      </w:r>
      <w:proofErr w:type="spellStart"/>
      <w:r w:rsidRPr="00E77960">
        <w:rPr>
          <w:i/>
        </w:rPr>
        <w:t>weihenstephanensis</w:t>
      </w:r>
      <w:proofErr w:type="spellEnd"/>
      <w:r w:rsidRPr="00E77960">
        <w:rPr>
          <w:i/>
        </w:rPr>
        <w:t xml:space="preserve">, L. </w:t>
      </w:r>
      <w:proofErr w:type="spellStart"/>
      <w:r w:rsidRPr="00E77960">
        <w:rPr>
          <w:i/>
        </w:rPr>
        <w:t>weihenstephanensis</w:t>
      </w:r>
      <w:proofErr w:type="spellEnd"/>
      <w:r w:rsidRPr="00E77960">
        <w:rPr>
          <w:i/>
        </w:rPr>
        <w:t xml:space="preserve">, L. </w:t>
      </w:r>
      <w:proofErr w:type="spellStart"/>
      <w:r w:rsidRPr="00E77960">
        <w:rPr>
          <w:i/>
        </w:rPr>
        <w:t>rocourti</w:t>
      </w:r>
      <w:r>
        <w:rPr>
          <w:i/>
        </w:rPr>
        <w:t>ae</w:t>
      </w:r>
      <w:proofErr w:type="spellEnd"/>
      <w:r>
        <w:rPr>
          <w:i/>
        </w:rPr>
        <w:t xml:space="preserve">, L. </w:t>
      </w:r>
      <w:proofErr w:type="spellStart"/>
      <w:r>
        <w:rPr>
          <w:i/>
        </w:rPr>
        <w:t>aquatica</w:t>
      </w:r>
      <w:proofErr w:type="spellEnd"/>
      <w:r>
        <w:rPr>
          <w:i/>
        </w:rPr>
        <w:t xml:space="preserve">, L. </w:t>
      </w:r>
      <w:proofErr w:type="spellStart"/>
      <w:r>
        <w:rPr>
          <w:i/>
        </w:rPr>
        <w:t>floridensis</w:t>
      </w:r>
      <w:proofErr w:type="spellEnd"/>
      <w:r w:rsidRPr="00E77960">
        <w:rPr>
          <w:i/>
        </w:rPr>
        <w:t xml:space="preserve">, L. </w:t>
      </w:r>
      <w:proofErr w:type="spellStart"/>
      <w:r w:rsidRPr="00E77960">
        <w:rPr>
          <w:i/>
        </w:rPr>
        <w:t>Fleischmannii</w:t>
      </w:r>
      <w:proofErr w:type="spellEnd"/>
      <w:r w:rsidRPr="00E77960">
        <w:rPr>
          <w:i/>
        </w:rPr>
        <w:t xml:space="preserve"> </w:t>
      </w:r>
      <w:proofErr w:type="spellStart"/>
      <w:r w:rsidRPr="00E77960">
        <w:rPr>
          <w:i/>
        </w:rPr>
        <w:t>subsp</w:t>
      </w:r>
      <w:proofErr w:type="spellEnd"/>
      <w:r w:rsidRPr="00E77960">
        <w:rPr>
          <w:i/>
        </w:rPr>
        <w:t xml:space="preserve">. </w:t>
      </w:r>
      <w:proofErr w:type="spellStart"/>
      <w:proofErr w:type="gramStart"/>
      <w:r w:rsidR="000A0FE8">
        <w:rPr>
          <w:i/>
        </w:rPr>
        <w:t>f</w:t>
      </w:r>
      <w:r w:rsidRPr="00E77960">
        <w:rPr>
          <w:i/>
        </w:rPr>
        <w:t>leischmanii</w:t>
      </w:r>
      <w:proofErr w:type="spellEnd"/>
      <w:proofErr w:type="gramEnd"/>
      <w:r w:rsidRPr="00E77960">
        <w:rPr>
          <w:i/>
        </w:rPr>
        <w:t xml:space="preserve"> et L.  </w:t>
      </w:r>
      <w:proofErr w:type="spellStart"/>
      <w:proofErr w:type="gramStart"/>
      <w:r w:rsidRPr="00E77960">
        <w:rPr>
          <w:i/>
        </w:rPr>
        <w:t>fleischmanii</w:t>
      </w:r>
      <w:proofErr w:type="spellEnd"/>
      <w:proofErr w:type="gramEnd"/>
      <w:r w:rsidRPr="00E77960">
        <w:rPr>
          <w:i/>
        </w:rPr>
        <w:t xml:space="preserve"> </w:t>
      </w:r>
      <w:proofErr w:type="spellStart"/>
      <w:r w:rsidRPr="00E77960">
        <w:rPr>
          <w:i/>
        </w:rPr>
        <w:t>subsp</w:t>
      </w:r>
      <w:proofErr w:type="spellEnd"/>
      <w:r w:rsidRPr="00E77960">
        <w:rPr>
          <w:i/>
        </w:rPr>
        <w:t xml:space="preserve">. </w:t>
      </w:r>
      <w:proofErr w:type="spellStart"/>
      <w:proofErr w:type="gramStart"/>
      <w:r w:rsidR="000A0FE8">
        <w:rPr>
          <w:i/>
        </w:rPr>
        <w:t>c</w:t>
      </w:r>
      <w:r w:rsidRPr="00E77960">
        <w:rPr>
          <w:i/>
        </w:rPr>
        <w:t>oloradonensis</w:t>
      </w:r>
      <w:proofErr w:type="spellEnd"/>
      <w:proofErr w:type="gramEnd"/>
      <w:r>
        <w:t xml:space="preserve">. </w:t>
      </w:r>
    </w:p>
    <w:p w14:paraId="19C8BE43" w14:textId="17D9F5F2" w:rsidR="00A56FD5" w:rsidRDefault="00A56FD5" w:rsidP="00A56FD5">
      <w:r>
        <w:t>Les souches « non-cibles » présentent une amplification positive pour les tests</w:t>
      </w:r>
      <w:r w:rsidR="000A0FE8">
        <w:t xml:space="preserve"> en temps réel</w:t>
      </w:r>
      <w:r>
        <w:t xml:space="preserve"> PCR </w:t>
      </w:r>
      <w:proofErr w:type="spellStart"/>
      <w:r w:rsidRPr="000A0FE8">
        <w:rPr>
          <w:i/>
        </w:rPr>
        <w:t>prs</w:t>
      </w:r>
      <w:proofErr w:type="spellEnd"/>
      <w:r>
        <w:t xml:space="preserve"> et </w:t>
      </w:r>
      <w:proofErr w:type="spellStart"/>
      <w:r w:rsidRPr="000A0FE8">
        <w:rPr>
          <w:i/>
        </w:rPr>
        <w:t>plca</w:t>
      </w:r>
      <w:proofErr w:type="spellEnd"/>
      <w:r>
        <w:t xml:space="preserve"> mais aucune amplification pour tous les autres test</w:t>
      </w:r>
      <w:r w:rsidR="00885DBA">
        <w:t>s PCR (Annexe 4</w:t>
      </w:r>
      <w:r>
        <w:t xml:space="preserve">). Aussi bien les souches non-ciblées par le schéma </w:t>
      </w:r>
      <w:proofErr w:type="spellStart"/>
      <w:r>
        <w:t>Geno</w:t>
      </w:r>
      <w:r w:rsidRPr="00F06613">
        <w:rPr>
          <w:i/>
        </w:rPr>
        <w:t>Listeria</w:t>
      </w:r>
      <w:proofErr w:type="spellEnd"/>
      <w:r>
        <w:t>, que les souches du panel d'</w:t>
      </w:r>
      <w:proofErr w:type="spellStart"/>
      <w:r>
        <w:t>inclusivité</w:t>
      </w:r>
      <w:proofErr w:type="spellEnd"/>
      <w:r w:rsidR="00885DBA">
        <w:t xml:space="preserve"> avec une PCR </w:t>
      </w:r>
      <w:r w:rsidR="000A0FE8">
        <w:t xml:space="preserve">en temps réel </w:t>
      </w:r>
      <w:proofErr w:type="gramStart"/>
      <w:r w:rsidR="00885DBA">
        <w:t xml:space="preserve">négative </w:t>
      </w:r>
      <w:r>
        <w:t xml:space="preserve"> présentent</w:t>
      </w:r>
      <w:proofErr w:type="gramEnd"/>
      <w:r>
        <w:t xml:space="preserve"> des résultats conformes à ceux attendus</w:t>
      </w:r>
      <w:r w:rsidR="000A0FE8">
        <w:t xml:space="preserve"> (Annexe 4)</w:t>
      </w:r>
      <w:r>
        <w:t>.</w:t>
      </w:r>
    </w:p>
    <w:p w14:paraId="4537C2FE" w14:textId="5F40EC5B" w:rsidR="00A56FD5" w:rsidRPr="00E77960" w:rsidRDefault="00A56FD5" w:rsidP="00A56FD5">
      <w:r>
        <w:t xml:space="preserve">Les analyses réalisées sur les trois tests PCR </w:t>
      </w:r>
      <w:r w:rsidR="000A0FE8">
        <w:t xml:space="preserve">en temps réel </w:t>
      </w:r>
      <w:r w:rsidRPr="009F6D6D">
        <w:t>CC11-ST451, CC19-ST398-802</w:t>
      </w:r>
      <w:r>
        <w:t>-1308</w:t>
      </w:r>
      <w:r w:rsidRPr="009F6D6D">
        <w:t xml:space="preserve"> et CC199</w:t>
      </w:r>
      <w:r>
        <w:t xml:space="preserve"> présentent d</w:t>
      </w:r>
      <w:r w:rsidR="00885DBA">
        <w:t>es résultats équivalent</w:t>
      </w:r>
      <w:r w:rsidR="000A0FE8">
        <w:t>s</w:t>
      </w:r>
      <w:r w:rsidR="00885DBA">
        <w:t xml:space="preserve"> (</w:t>
      </w:r>
      <w:r w:rsidR="00A26C65">
        <w:fldChar w:fldCharType="begin"/>
      </w:r>
      <w:r w:rsidR="00A26C65">
        <w:instrText xml:space="preserve"> REF _Ref72339814 \h </w:instrText>
      </w:r>
      <w:r w:rsidR="00A26C65">
        <w:fldChar w:fldCharType="separate"/>
      </w:r>
      <w:r w:rsidR="00A26C65">
        <w:t xml:space="preserve">Tableau </w:t>
      </w:r>
      <w:r w:rsidR="00A26C65">
        <w:rPr>
          <w:noProof/>
        </w:rPr>
        <w:t>10</w:t>
      </w:r>
      <w:r w:rsidR="00A26C65">
        <w:fldChar w:fldCharType="end"/>
      </w:r>
      <w:r>
        <w:t>).</w:t>
      </w:r>
    </w:p>
    <w:p w14:paraId="07405C06" w14:textId="3BCF44BA" w:rsidR="00A56FD5" w:rsidRPr="00E77960" w:rsidRDefault="00A26C65" w:rsidP="00A26C65">
      <w:pPr>
        <w:pStyle w:val="Lgende"/>
      </w:pPr>
      <w:bookmarkStart w:id="71" w:name="_Ref72339814"/>
      <w:bookmarkStart w:id="72" w:name="_Toc73027720"/>
      <w:r>
        <w:t xml:space="preserve">Tableau </w:t>
      </w:r>
      <w:r w:rsidR="00657B21">
        <w:fldChar w:fldCharType="begin"/>
      </w:r>
      <w:r w:rsidR="00657B21">
        <w:instrText xml:space="preserve"> SEQ Tableau \* ARABIC </w:instrText>
      </w:r>
      <w:r w:rsidR="00657B21">
        <w:fldChar w:fldCharType="separate"/>
      </w:r>
      <w:r w:rsidR="003E5038">
        <w:rPr>
          <w:noProof/>
        </w:rPr>
        <w:t>10</w:t>
      </w:r>
      <w:r w:rsidR="00657B21">
        <w:rPr>
          <w:noProof/>
        </w:rPr>
        <w:fldChar w:fldCharType="end"/>
      </w:r>
      <w:bookmarkEnd w:id="71"/>
      <w:r>
        <w:t xml:space="preserve"> : </w:t>
      </w:r>
      <w:r w:rsidR="00A56FD5">
        <w:t>Synthèse des résultats d’exclusivité</w:t>
      </w:r>
      <w:bookmarkEnd w:id="72"/>
    </w:p>
    <w:p w14:paraId="4B170C2D" w14:textId="77777777" w:rsidR="00A56FD5" w:rsidRDefault="00A56FD5" w:rsidP="00A56FD5">
      <w:pPr>
        <w:rPr>
          <w:iCs/>
        </w:rPr>
      </w:pPr>
      <w:r w:rsidRPr="00E36F97">
        <w:rPr>
          <w:noProof/>
        </w:rPr>
        <w:drawing>
          <wp:inline distT="0" distB="0" distL="0" distR="0" wp14:anchorId="4E3AE474" wp14:editId="445B0245">
            <wp:extent cx="5764850" cy="1596179"/>
            <wp:effectExtent l="0" t="0" r="7620" b="444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8">
                      <a:extLst>
                        <a:ext uri="{28A0092B-C50C-407E-A947-70E740481C1C}">
                          <a14:useLocalDpi xmlns:a14="http://schemas.microsoft.com/office/drawing/2010/main" val="0"/>
                        </a:ext>
                      </a:extLst>
                    </a:blip>
                    <a:srcRect t="7142"/>
                    <a:stretch/>
                  </pic:blipFill>
                  <pic:spPr bwMode="auto">
                    <a:xfrm>
                      <a:off x="0" y="0"/>
                      <a:ext cx="5765165" cy="1596266"/>
                    </a:xfrm>
                    <a:prstGeom prst="rect">
                      <a:avLst/>
                    </a:prstGeom>
                    <a:noFill/>
                    <a:ln>
                      <a:noFill/>
                    </a:ln>
                    <a:extLst>
                      <a:ext uri="{53640926-AAD7-44D8-BBD7-CCE9431645EC}">
                        <a14:shadowObscured xmlns:a14="http://schemas.microsoft.com/office/drawing/2010/main"/>
                      </a:ext>
                    </a:extLst>
                  </pic:spPr>
                </pic:pic>
              </a:graphicData>
            </a:graphic>
          </wp:inline>
        </w:drawing>
      </w:r>
    </w:p>
    <w:p w14:paraId="7DD71738" w14:textId="2AFC8C1F" w:rsidR="00A56FD5" w:rsidRDefault="00A56FD5" w:rsidP="00FA4D29">
      <w:pPr>
        <w:pStyle w:val="Titre4"/>
      </w:pPr>
      <w:r>
        <w:t xml:space="preserve">Test d’optimisation de la PCR </w:t>
      </w:r>
      <w:r w:rsidR="000A0FE8">
        <w:t xml:space="preserve">en temps réel </w:t>
      </w:r>
      <w:r>
        <w:t>trip</w:t>
      </w:r>
      <w:r w:rsidR="000A0FE8">
        <w:t>l</w:t>
      </w:r>
      <w:r>
        <w:t xml:space="preserve">ex </w:t>
      </w:r>
      <w:proofErr w:type="spellStart"/>
      <w:r>
        <w:t>Geno</w:t>
      </w:r>
      <w:r w:rsidRPr="00A56FD5">
        <w:t>Listeria</w:t>
      </w:r>
      <w:proofErr w:type="spellEnd"/>
    </w:p>
    <w:p w14:paraId="32C1D594" w14:textId="3A1D8192" w:rsidR="00A56FD5" w:rsidRDefault="00A26C65" w:rsidP="00A56FD5">
      <w:r>
        <w:t xml:space="preserve">Fort des </w:t>
      </w:r>
      <w:r w:rsidR="00A56FD5">
        <w:t>analyses d’</w:t>
      </w:r>
      <w:proofErr w:type="spellStart"/>
      <w:r w:rsidR="00A56FD5">
        <w:t>inclusivité</w:t>
      </w:r>
      <w:proofErr w:type="spellEnd"/>
      <w:r w:rsidR="00A56FD5">
        <w:t xml:space="preserve"> et d’exclusivité réalisées sur la méthode</w:t>
      </w:r>
      <w:r w:rsidR="000A0FE8">
        <w:t xml:space="preserve"> PCR en temps réel</w:t>
      </w:r>
      <w:r w:rsidR="00A56FD5">
        <w:t xml:space="preserve"> </w:t>
      </w:r>
      <w:proofErr w:type="spellStart"/>
      <w:r w:rsidR="00A56FD5">
        <w:t>Geno</w:t>
      </w:r>
      <w:r w:rsidR="00A56FD5" w:rsidRPr="00987C12">
        <w:rPr>
          <w:i/>
        </w:rPr>
        <w:t>Listeria</w:t>
      </w:r>
      <w:proofErr w:type="spellEnd"/>
      <w:r w:rsidR="00A56FD5">
        <w:t xml:space="preserve"> haut débit (sections 2.6.5 et 2.6.6) </w:t>
      </w:r>
      <w:r w:rsidR="002C3D77">
        <w:t>une version triplex de la méthode a été mise au point. Elle utilise</w:t>
      </w:r>
      <w:r w:rsidR="00A56FD5">
        <w:t xml:space="preserve"> les mêmes sondes que </w:t>
      </w:r>
      <w:r w:rsidR="002C3D77">
        <w:t>la version haut débit</w:t>
      </w:r>
      <w:r w:rsidR="00A56FD5">
        <w:t>.</w:t>
      </w:r>
    </w:p>
    <w:p w14:paraId="512B59FE" w14:textId="6E2507CA" w:rsidR="00A56FD5" w:rsidRDefault="00A56FD5" w:rsidP="00A56FD5">
      <w:r>
        <w:t>Un panel de 88 souches, intégrant les 30 souches de référence (section 2.1.3) et 58 souches du panel d’</w:t>
      </w:r>
      <w:proofErr w:type="spellStart"/>
      <w:r>
        <w:t>inclusivité</w:t>
      </w:r>
      <w:proofErr w:type="spellEnd"/>
      <w:r>
        <w:t xml:space="preserve"> (section 2.1.6) a été utilisé</w:t>
      </w:r>
      <w:r w:rsidR="00885DBA">
        <w:t xml:space="preserve"> pour tester la méthode (</w:t>
      </w:r>
      <w:r w:rsidR="000327CA">
        <w:fldChar w:fldCharType="begin"/>
      </w:r>
      <w:r w:rsidR="000327CA">
        <w:instrText xml:space="preserve"> REF _Ref72339814 \h </w:instrText>
      </w:r>
      <w:r w:rsidR="000327CA">
        <w:fldChar w:fldCharType="separate"/>
      </w:r>
      <w:r w:rsidR="000327CA">
        <w:t xml:space="preserve">Tableau </w:t>
      </w:r>
      <w:r w:rsidR="000327CA">
        <w:rPr>
          <w:noProof/>
        </w:rPr>
        <w:t>10</w:t>
      </w:r>
      <w:r w:rsidR="000327CA">
        <w:fldChar w:fldCharType="end"/>
      </w:r>
      <w:r w:rsidR="00885DBA">
        <w:t xml:space="preserve">, </w:t>
      </w:r>
      <w:r w:rsidR="000426A4">
        <w:t>a</w:t>
      </w:r>
      <w:r w:rsidR="00885DBA">
        <w:t xml:space="preserve">nnexe 3, </w:t>
      </w:r>
      <w:r w:rsidR="000426A4">
        <w:t>a</w:t>
      </w:r>
      <w:r w:rsidR="00885DBA">
        <w:t>nnexe 5</w:t>
      </w:r>
      <w:r>
        <w:t xml:space="preserve">). Ce panel plus restreint regroupe 3 souches de chaque CC. Chaque PCR </w:t>
      </w:r>
      <w:r w:rsidR="000A0FE8">
        <w:t xml:space="preserve">en temps réel </w:t>
      </w:r>
      <w:r>
        <w:t>triplex a été testée sur ce panel.</w:t>
      </w:r>
    </w:p>
    <w:p w14:paraId="07284D34" w14:textId="260C76CF" w:rsidR="00A56FD5" w:rsidRDefault="00A56FD5" w:rsidP="00A56FD5">
      <w:r>
        <w:t xml:space="preserve">Tous les résultats obtenus correspondent à ceux qui étaient attendus en accord avec la méthode. Le bilan des résultats de validation de la </w:t>
      </w:r>
      <w:r w:rsidR="000A0FE8">
        <w:t xml:space="preserve">PCR en temps réel </w:t>
      </w:r>
      <w:proofErr w:type="spellStart"/>
      <w:r>
        <w:t>Geno</w:t>
      </w:r>
      <w:r w:rsidRPr="00987C12">
        <w:rPr>
          <w:i/>
        </w:rPr>
        <w:t>Listeria</w:t>
      </w:r>
      <w:proofErr w:type="spellEnd"/>
      <w:r>
        <w:t xml:space="preserve"> tr</w:t>
      </w:r>
      <w:r w:rsidR="000426A4">
        <w:t>iplex est disponible en annexe 5</w:t>
      </w:r>
      <w:r>
        <w:t>.</w:t>
      </w:r>
    </w:p>
    <w:p w14:paraId="1F3270E9" w14:textId="510B29A8" w:rsidR="00A56FD5" w:rsidRDefault="000A0FE8" w:rsidP="00FA4D29">
      <w:pPr>
        <w:pStyle w:val="Titre4"/>
      </w:pPr>
      <w:r>
        <w:lastRenderedPageBreak/>
        <w:t>Analyse de coû</w:t>
      </w:r>
      <w:r w:rsidR="00A56FD5">
        <w:t>t</w:t>
      </w:r>
    </w:p>
    <w:p w14:paraId="6F00F604" w14:textId="625D4F2A" w:rsidR="00A56FD5" w:rsidRDefault="000A0FE8" w:rsidP="00FA4D29">
      <w:pPr>
        <w:pStyle w:val="Titre5"/>
      </w:pPr>
      <w:r>
        <w:t xml:space="preserve">PCR en temps réel </w:t>
      </w:r>
      <w:proofErr w:type="spellStart"/>
      <w:r w:rsidR="00A56FD5">
        <w:t>Geno</w:t>
      </w:r>
      <w:r w:rsidR="00A56FD5" w:rsidRPr="00A56FD5">
        <w:rPr>
          <w:i/>
        </w:rPr>
        <w:t>Listeria</w:t>
      </w:r>
      <w:proofErr w:type="spellEnd"/>
      <w:r w:rsidR="00A56FD5">
        <w:t xml:space="preserve"> haut débit</w:t>
      </w:r>
    </w:p>
    <w:p w14:paraId="02DCC9A4" w14:textId="49647B46" w:rsidR="00A56FD5" w:rsidRDefault="00522320" w:rsidP="00A56FD5">
      <w:r>
        <w:t>Le coû</w:t>
      </w:r>
      <w:r w:rsidR="00A56FD5">
        <w:t xml:space="preserve">t d’une puce </w:t>
      </w:r>
      <w:proofErr w:type="spellStart"/>
      <w:r w:rsidR="00A56FD5">
        <w:t>Biomark</w:t>
      </w:r>
      <w:proofErr w:type="spellEnd"/>
      <w:r w:rsidR="00A56FD5">
        <w:t xml:space="preserve"> 48X48 est de 280€ hors taxe, il permet l’analyse de 44 extraits d’ADN contre 46 tests de PCR</w:t>
      </w:r>
      <w:r>
        <w:t xml:space="preserve"> en temps réel</w:t>
      </w:r>
      <w:r w:rsidR="00A56FD5">
        <w:t>. Le volume de réactif utilisé aussi bien pour les extrait</w:t>
      </w:r>
      <w:r w:rsidR="002C3D77">
        <w:t>s</w:t>
      </w:r>
      <w:r w:rsidR="00A56FD5">
        <w:t xml:space="preserve"> d’ADN et les couples de sondes et d’amorces est très réduit, 0,3 µL d’extrait d’ADN et 0, 3µL de chaque solution d’amorces pour 44 t</w:t>
      </w:r>
      <w:r>
        <w:t>ests de PCR. Ce qui rend les coû</w:t>
      </w:r>
      <w:r w:rsidR="00A56FD5">
        <w:t>ts réactifs négligeable</w:t>
      </w:r>
      <w:r>
        <w:t>s, seul le coû</w:t>
      </w:r>
      <w:r w:rsidR="00A56FD5">
        <w:t xml:space="preserve">t de la puce </w:t>
      </w:r>
      <w:proofErr w:type="spellStart"/>
      <w:r w:rsidR="00A56FD5">
        <w:t>BioMark</w:t>
      </w:r>
      <w:proofErr w:type="spellEnd"/>
      <w:r w:rsidR="00A56FD5">
        <w:rPr>
          <w:rFonts w:ascii="Arial Narrow" w:hAnsi="Arial Narrow"/>
        </w:rPr>
        <w:t>®</w:t>
      </w:r>
      <w:r w:rsidR="00A56FD5">
        <w:t xml:space="preserve"> est substantiel</w:t>
      </w:r>
      <w:r w:rsidR="000426A4">
        <w:t xml:space="preserve"> (</w:t>
      </w:r>
      <w:r w:rsidR="003E5038">
        <w:fldChar w:fldCharType="begin"/>
      </w:r>
      <w:r w:rsidR="003E5038">
        <w:instrText xml:space="preserve"> REF _Ref72339870 \h </w:instrText>
      </w:r>
      <w:r w:rsidR="003E5038">
        <w:fldChar w:fldCharType="separate"/>
      </w:r>
      <w:r w:rsidR="003E5038">
        <w:t xml:space="preserve">Tableau </w:t>
      </w:r>
      <w:r w:rsidR="003E5038">
        <w:rPr>
          <w:noProof/>
        </w:rPr>
        <w:t>11</w:t>
      </w:r>
      <w:r w:rsidR="003E5038">
        <w:fldChar w:fldCharType="end"/>
      </w:r>
      <w:r w:rsidR="000426A4">
        <w:t>)</w:t>
      </w:r>
      <w:r>
        <w:t>. Les coû</w:t>
      </w:r>
      <w:r w:rsidR="00A56FD5">
        <w:t>ts de consommables plastiques et d’extraction ne sont pas pris en compte dans le calcul, approxima</w:t>
      </w:r>
      <w:r>
        <w:t>tivement ils représentent un coû</w:t>
      </w:r>
      <w:r w:rsidR="00A56FD5">
        <w:t>t fixe de 2 € par souche.</w:t>
      </w:r>
    </w:p>
    <w:p w14:paraId="1DD4B1DB" w14:textId="77777777" w:rsidR="003E5038" w:rsidRDefault="003E5038" w:rsidP="003E5038">
      <w:pPr>
        <w:pStyle w:val="Lgende"/>
      </w:pPr>
      <w:bookmarkStart w:id="73" w:name="_Ref72339870"/>
    </w:p>
    <w:p w14:paraId="6B30435C" w14:textId="4D62B66D" w:rsidR="00A56FD5" w:rsidRDefault="003E5038" w:rsidP="003E5038">
      <w:pPr>
        <w:pStyle w:val="Lgende"/>
      </w:pPr>
      <w:bookmarkStart w:id="74" w:name="_Toc73027721"/>
      <w:r>
        <w:t xml:space="preserve">Tableau </w:t>
      </w:r>
      <w:r w:rsidR="00657B21">
        <w:fldChar w:fldCharType="begin"/>
      </w:r>
      <w:r w:rsidR="00657B21">
        <w:instrText xml:space="preserve"> SEQ Tableau \* ARABIC </w:instrText>
      </w:r>
      <w:r w:rsidR="00657B21">
        <w:fldChar w:fldCharType="separate"/>
      </w:r>
      <w:r>
        <w:rPr>
          <w:noProof/>
        </w:rPr>
        <w:t>11</w:t>
      </w:r>
      <w:r w:rsidR="00657B21">
        <w:rPr>
          <w:noProof/>
        </w:rPr>
        <w:fldChar w:fldCharType="end"/>
      </w:r>
      <w:bookmarkEnd w:id="73"/>
      <w:r>
        <w:t> : C</w:t>
      </w:r>
      <w:r w:rsidR="00522320">
        <w:t>oû</w:t>
      </w:r>
      <w:r w:rsidR="00A56FD5">
        <w:t>t de la PCR</w:t>
      </w:r>
      <w:r w:rsidR="00522320">
        <w:t xml:space="preserve"> en temps réel</w:t>
      </w:r>
      <w:r w:rsidR="00A56FD5">
        <w:t xml:space="preserve"> </w:t>
      </w:r>
      <w:proofErr w:type="spellStart"/>
      <w:r w:rsidR="00A56FD5">
        <w:t>Geno</w:t>
      </w:r>
      <w:r w:rsidR="00A56FD5" w:rsidRPr="00BA70A1">
        <w:rPr>
          <w:i/>
        </w:rPr>
        <w:t>Listeria</w:t>
      </w:r>
      <w:proofErr w:type="spellEnd"/>
      <w:r w:rsidR="00A56FD5">
        <w:t xml:space="preserve"> haut débit.</w:t>
      </w:r>
      <w:bookmarkEnd w:id="74"/>
    </w:p>
    <w:tbl>
      <w:tblPr>
        <w:tblStyle w:val="Grilledutableau"/>
        <w:tblW w:w="10768" w:type="dxa"/>
        <w:jc w:val="center"/>
        <w:tblLook w:val="04A0" w:firstRow="1" w:lastRow="0" w:firstColumn="1" w:lastColumn="0" w:noHBand="0" w:noVBand="1"/>
      </w:tblPr>
      <w:tblGrid>
        <w:gridCol w:w="2509"/>
        <w:gridCol w:w="1883"/>
        <w:gridCol w:w="1142"/>
        <w:gridCol w:w="2025"/>
        <w:gridCol w:w="1792"/>
        <w:gridCol w:w="1417"/>
      </w:tblGrid>
      <w:tr w:rsidR="00A56FD5" w14:paraId="694CE0BB" w14:textId="77777777" w:rsidTr="000B69C6">
        <w:trPr>
          <w:jc w:val="center"/>
        </w:trPr>
        <w:tc>
          <w:tcPr>
            <w:tcW w:w="2509" w:type="dxa"/>
          </w:tcPr>
          <w:p w14:paraId="359515C3" w14:textId="77777777" w:rsidR="00A56FD5" w:rsidRDefault="00A56FD5" w:rsidP="00A56FD5">
            <w:r>
              <w:t>Réactifs</w:t>
            </w:r>
          </w:p>
        </w:tc>
        <w:tc>
          <w:tcPr>
            <w:tcW w:w="1883" w:type="dxa"/>
          </w:tcPr>
          <w:p w14:paraId="3370B5A1" w14:textId="77777777" w:rsidR="00A56FD5" w:rsidRDefault="00A56FD5" w:rsidP="00A56FD5">
            <w:r>
              <w:t>Conditionnement</w:t>
            </w:r>
          </w:p>
        </w:tc>
        <w:tc>
          <w:tcPr>
            <w:tcW w:w="1142" w:type="dxa"/>
          </w:tcPr>
          <w:p w14:paraId="05F4A886" w14:textId="77777777" w:rsidR="00A56FD5" w:rsidRDefault="00A56FD5" w:rsidP="00A56FD5">
            <w:r>
              <w:t>Prix hors taxe</w:t>
            </w:r>
          </w:p>
        </w:tc>
        <w:tc>
          <w:tcPr>
            <w:tcW w:w="2025" w:type="dxa"/>
          </w:tcPr>
          <w:p w14:paraId="15F1D7A7" w14:textId="77777777" w:rsidR="00A56FD5" w:rsidRDefault="00A56FD5" w:rsidP="00A56FD5">
            <w:r>
              <w:t>Volume unitaire utilisé par souche</w:t>
            </w:r>
          </w:p>
        </w:tc>
        <w:tc>
          <w:tcPr>
            <w:tcW w:w="1792" w:type="dxa"/>
          </w:tcPr>
          <w:p w14:paraId="79EAD344" w14:textId="2941ABEC" w:rsidR="00A56FD5" w:rsidRDefault="00A56FD5" w:rsidP="00A56FD5">
            <w:r>
              <w:t xml:space="preserve">Nombre d’unité utilisée </w:t>
            </w:r>
            <w:r w:rsidR="00365EAE">
              <w:t xml:space="preserve">par </w:t>
            </w:r>
            <w:r>
              <w:t>puce</w:t>
            </w:r>
          </w:p>
        </w:tc>
        <w:tc>
          <w:tcPr>
            <w:tcW w:w="1417" w:type="dxa"/>
          </w:tcPr>
          <w:p w14:paraId="40B7E159" w14:textId="40DD9012" w:rsidR="00A56FD5" w:rsidRDefault="00522320" w:rsidP="00A56FD5">
            <w:r>
              <w:t>Coû</w:t>
            </w:r>
            <w:r w:rsidR="00A56FD5">
              <w:t>t global par souche</w:t>
            </w:r>
          </w:p>
        </w:tc>
      </w:tr>
      <w:tr w:rsidR="00A56FD5" w14:paraId="304614C8" w14:textId="77777777" w:rsidTr="000B69C6">
        <w:trPr>
          <w:jc w:val="center"/>
        </w:trPr>
        <w:tc>
          <w:tcPr>
            <w:tcW w:w="2509" w:type="dxa"/>
          </w:tcPr>
          <w:p w14:paraId="45565820" w14:textId="77777777" w:rsidR="00A56FD5" w:rsidRDefault="00A56FD5" w:rsidP="00A56FD5">
            <w:pPr>
              <w:jc w:val="left"/>
            </w:pPr>
            <w:r>
              <w:t xml:space="preserve">Sonde </w:t>
            </w:r>
            <w:proofErr w:type="spellStart"/>
            <w:r>
              <w:t>Taqman</w:t>
            </w:r>
            <w:proofErr w:type="spellEnd"/>
            <w:r>
              <w:rPr>
                <w:rFonts w:ascii="Arial Narrow" w:hAnsi="Arial Narrow"/>
              </w:rPr>
              <w:t>®</w:t>
            </w:r>
          </w:p>
        </w:tc>
        <w:tc>
          <w:tcPr>
            <w:tcW w:w="1883" w:type="dxa"/>
          </w:tcPr>
          <w:p w14:paraId="1C7F9693" w14:textId="77777777" w:rsidR="00A56FD5" w:rsidRDefault="00A56FD5" w:rsidP="00A56FD5">
            <w:pPr>
              <w:jc w:val="center"/>
            </w:pPr>
            <w:r>
              <w:t>150 µL</w:t>
            </w:r>
          </w:p>
        </w:tc>
        <w:tc>
          <w:tcPr>
            <w:tcW w:w="1142" w:type="dxa"/>
          </w:tcPr>
          <w:p w14:paraId="65C03BCC" w14:textId="77777777" w:rsidR="00A56FD5" w:rsidRDefault="00A56FD5" w:rsidP="00A56FD5">
            <w:pPr>
              <w:jc w:val="center"/>
            </w:pPr>
            <w:r>
              <w:t>190 €</w:t>
            </w:r>
          </w:p>
        </w:tc>
        <w:tc>
          <w:tcPr>
            <w:tcW w:w="2025" w:type="dxa"/>
          </w:tcPr>
          <w:p w14:paraId="1AC2FC5E" w14:textId="77777777" w:rsidR="00A56FD5" w:rsidRDefault="00A56FD5" w:rsidP="00A56FD5">
            <w:pPr>
              <w:jc w:val="center"/>
            </w:pPr>
            <w:r>
              <w:t>0,007 µL</w:t>
            </w:r>
          </w:p>
        </w:tc>
        <w:tc>
          <w:tcPr>
            <w:tcW w:w="1792" w:type="dxa"/>
          </w:tcPr>
          <w:p w14:paraId="45587445" w14:textId="77777777" w:rsidR="00A56FD5" w:rsidRDefault="00A56FD5" w:rsidP="00A56FD5">
            <w:pPr>
              <w:jc w:val="center"/>
            </w:pPr>
            <w:r>
              <w:t>36</w:t>
            </w:r>
          </w:p>
        </w:tc>
        <w:tc>
          <w:tcPr>
            <w:tcW w:w="1417" w:type="dxa"/>
          </w:tcPr>
          <w:p w14:paraId="6D7157E6" w14:textId="77777777" w:rsidR="00A56FD5" w:rsidRDefault="00A56FD5" w:rsidP="00A56FD5">
            <w:pPr>
              <w:jc w:val="center"/>
            </w:pPr>
            <w:r>
              <w:t>0,32 €</w:t>
            </w:r>
          </w:p>
        </w:tc>
      </w:tr>
      <w:tr w:rsidR="00A56FD5" w14:paraId="434A528D" w14:textId="77777777" w:rsidTr="000B69C6">
        <w:trPr>
          <w:jc w:val="center"/>
        </w:trPr>
        <w:tc>
          <w:tcPr>
            <w:tcW w:w="2509" w:type="dxa"/>
          </w:tcPr>
          <w:p w14:paraId="0B980ACF" w14:textId="77777777" w:rsidR="00A56FD5" w:rsidRDefault="00A56FD5" w:rsidP="00A56FD5">
            <w:pPr>
              <w:jc w:val="left"/>
            </w:pPr>
            <w:r>
              <w:t>Amorces</w:t>
            </w:r>
          </w:p>
        </w:tc>
        <w:tc>
          <w:tcPr>
            <w:tcW w:w="1883" w:type="dxa"/>
          </w:tcPr>
          <w:p w14:paraId="62E36BFB" w14:textId="77777777" w:rsidR="00A56FD5" w:rsidRDefault="00A56FD5" w:rsidP="00A56FD5">
            <w:pPr>
              <w:jc w:val="center"/>
            </w:pPr>
            <w:r>
              <w:t>50 µL</w:t>
            </w:r>
          </w:p>
        </w:tc>
        <w:tc>
          <w:tcPr>
            <w:tcW w:w="1142" w:type="dxa"/>
          </w:tcPr>
          <w:p w14:paraId="49B272A5" w14:textId="77777777" w:rsidR="00A56FD5" w:rsidRDefault="00A56FD5" w:rsidP="00A56FD5">
            <w:pPr>
              <w:jc w:val="center"/>
            </w:pPr>
            <w:r>
              <w:t>9 €</w:t>
            </w:r>
          </w:p>
        </w:tc>
        <w:tc>
          <w:tcPr>
            <w:tcW w:w="2025" w:type="dxa"/>
          </w:tcPr>
          <w:p w14:paraId="5DE50473" w14:textId="77777777" w:rsidR="00A56FD5" w:rsidRDefault="00A56FD5" w:rsidP="00A56FD5">
            <w:pPr>
              <w:jc w:val="center"/>
            </w:pPr>
            <w:r>
              <w:t>0,007 µL</w:t>
            </w:r>
          </w:p>
        </w:tc>
        <w:tc>
          <w:tcPr>
            <w:tcW w:w="1792" w:type="dxa"/>
          </w:tcPr>
          <w:p w14:paraId="35E887D2" w14:textId="77777777" w:rsidR="00A56FD5" w:rsidRDefault="00A56FD5" w:rsidP="00A56FD5">
            <w:pPr>
              <w:jc w:val="center"/>
            </w:pPr>
            <w:r>
              <w:t>72</w:t>
            </w:r>
          </w:p>
        </w:tc>
        <w:tc>
          <w:tcPr>
            <w:tcW w:w="1417" w:type="dxa"/>
          </w:tcPr>
          <w:p w14:paraId="34AF472D" w14:textId="77777777" w:rsidR="00A56FD5" w:rsidRDefault="00A56FD5" w:rsidP="00A56FD5">
            <w:pPr>
              <w:jc w:val="center"/>
            </w:pPr>
            <w:r>
              <w:t>0,08 €</w:t>
            </w:r>
          </w:p>
        </w:tc>
      </w:tr>
      <w:tr w:rsidR="00A56FD5" w14:paraId="040E2B6B" w14:textId="77777777" w:rsidTr="000B69C6">
        <w:trPr>
          <w:jc w:val="center"/>
        </w:trPr>
        <w:tc>
          <w:tcPr>
            <w:tcW w:w="2509" w:type="dxa"/>
          </w:tcPr>
          <w:p w14:paraId="154DD6D3" w14:textId="77777777" w:rsidR="00A56FD5" w:rsidRDefault="00A56FD5" w:rsidP="00A56FD5">
            <w:pPr>
              <w:jc w:val="left"/>
            </w:pPr>
            <w:r>
              <w:t xml:space="preserve">Master mix </w:t>
            </w:r>
            <w:proofErr w:type="spellStart"/>
            <w:r>
              <w:t>Quantabio</w:t>
            </w:r>
            <w:proofErr w:type="spellEnd"/>
            <w:r>
              <w:rPr>
                <w:rFonts w:ascii="Arial Narrow" w:hAnsi="Arial Narrow"/>
              </w:rPr>
              <w:t>®</w:t>
            </w:r>
          </w:p>
        </w:tc>
        <w:tc>
          <w:tcPr>
            <w:tcW w:w="1883" w:type="dxa"/>
          </w:tcPr>
          <w:p w14:paraId="663709D5" w14:textId="77777777" w:rsidR="00A56FD5" w:rsidRDefault="00A56FD5" w:rsidP="00A56FD5">
            <w:pPr>
              <w:jc w:val="center"/>
            </w:pPr>
            <w:r>
              <w:t xml:space="preserve">50 </w:t>
            </w:r>
            <w:proofErr w:type="spellStart"/>
            <w:r>
              <w:t>mL</w:t>
            </w:r>
            <w:proofErr w:type="spellEnd"/>
          </w:p>
        </w:tc>
        <w:tc>
          <w:tcPr>
            <w:tcW w:w="1142" w:type="dxa"/>
          </w:tcPr>
          <w:p w14:paraId="68811E85" w14:textId="77777777" w:rsidR="00A56FD5" w:rsidRDefault="00A56FD5" w:rsidP="00A56FD5">
            <w:pPr>
              <w:jc w:val="center"/>
            </w:pPr>
            <w:r>
              <w:t>3000 €</w:t>
            </w:r>
          </w:p>
        </w:tc>
        <w:tc>
          <w:tcPr>
            <w:tcW w:w="2025" w:type="dxa"/>
          </w:tcPr>
          <w:p w14:paraId="3C7CD4F8" w14:textId="77777777" w:rsidR="00A56FD5" w:rsidRDefault="00A56FD5" w:rsidP="00A56FD5">
            <w:pPr>
              <w:jc w:val="center"/>
            </w:pPr>
            <w:r>
              <w:t>3,9 µL</w:t>
            </w:r>
          </w:p>
        </w:tc>
        <w:tc>
          <w:tcPr>
            <w:tcW w:w="1792" w:type="dxa"/>
          </w:tcPr>
          <w:p w14:paraId="1C030337" w14:textId="77777777" w:rsidR="00A56FD5" w:rsidRDefault="00A56FD5" w:rsidP="00A56FD5">
            <w:pPr>
              <w:jc w:val="center"/>
            </w:pPr>
            <w:r>
              <w:t>44</w:t>
            </w:r>
          </w:p>
        </w:tc>
        <w:tc>
          <w:tcPr>
            <w:tcW w:w="1417" w:type="dxa"/>
          </w:tcPr>
          <w:p w14:paraId="3A9F15A5" w14:textId="77777777" w:rsidR="00A56FD5" w:rsidRDefault="00A56FD5" w:rsidP="00A56FD5">
            <w:pPr>
              <w:jc w:val="center"/>
            </w:pPr>
            <w:r>
              <w:t>0,23 €</w:t>
            </w:r>
          </w:p>
        </w:tc>
      </w:tr>
      <w:tr w:rsidR="00A56FD5" w14:paraId="5A091AA0" w14:textId="77777777" w:rsidTr="000B69C6">
        <w:trPr>
          <w:jc w:val="center"/>
        </w:trPr>
        <w:tc>
          <w:tcPr>
            <w:tcW w:w="2509" w:type="dxa"/>
          </w:tcPr>
          <w:p w14:paraId="2EA45E7F" w14:textId="77777777" w:rsidR="00A56FD5" w:rsidRDefault="00A56FD5" w:rsidP="00A56FD5">
            <w:pPr>
              <w:jc w:val="left"/>
            </w:pPr>
            <w:r>
              <w:t xml:space="preserve">Puce </w:t>
            </w:r>
            <w:proofErr w:type="spellStart"/>
            <w:r>
              <w:t>BioMark</w:t>
            </w:r>
            <w:proofErr w:type="spellEnd"/>
            <w:r>
              <w:rPr>
                <w:rFonts w:ascii="Arial Narrow" w:hAnsi="Arial Narrow"/>
              </w:rPr>
              <w:t>®</w:t>
            </w:r>
            <w:r>
              <w:t xml:space="preserve"> 48 :48</w:t>
            </w:r>
          </w:p>
        </w:tc>
        <w:tc>
          <w:tcPr>
            <w:tcW w:w="1883" w:type="dxa"/>
          </w:tcPr>
          <w:p w14:paraId="72C9F192" w14:textId="77777777" w:rsidR="00A56FD5" w:rsidRDefault="00A56FD5" w:rsidP="00A56FD5">
            <w:pPr>
              <w:jc w:val="center"/>
            </w:pPr>
            <w:r>
              <w:t>1</w:t>
            </w:r>
          </w:p>
        </w:tc>
        <w:tc>
          <w:tcPr>
            <w:tcW w:w="1142" w:type="dxa"/>
          </w:tcPr>
          <w:p w14:paraId="48455A29" w14:textId="77777777" w:rsidR="00A56FD5" w:rsidRDefault="00A56FD5" w:rsidP="00A56FD5">
            <w:pPr>
              <w:jc w:val="center"/>
            </w:pPr>
            <w:r>
              <w:t>280 €</w:t>
            </w:r>
          </w:p>
        </w:tc>
        <w:tc>
          <w:tcPr>
            <w:tcW w:w="2025" w:type="dxa"/>
          </w:tcPr>
          <w:p w14:paraId="27A0B4EE" w14:textId="77777777" w:rsidR="00A56FD5" w:rsidRDefault="00A56FD5" w:rsidP="00A56FD5">
            <w:pPr>
              <w:jc w:val="center"/>
            </w:pPr>
            <w:r>
              <w:t>-</w:t>
            </w:r>
          </w:p>
        </w:tc>
        <w:tc>
          <w:tcPr>
            <w:tcW w:w="1792" w:type="dxa"/>
          </w:tcPr>
          <w:p w14:paraId="5B49E6BA" w14:textId="77777777" w:rsidR="00A56FD5" w:rsidRDefault="00A56FD5" w:rsidP="00A56FD5">
            <w:pPr>
              <w:jc w:val="center"/>
            </w:pPr>
            <w:r>
              <w:t>1</w:t>
            </w:r>
          </w:p>
        </w:tc>
        <w:tc>
          <w:tcPr>
            <w:tcW w:w="1417" w:type="dxa"/>
          </w:tcPr>
          <w:p w14:paraId="3D25465C" w14:textId="77777777" w:rsidR="00A56FD5" w:rsidRDefault="00A56FD5" w:rsidP="00A56FD5">
            <w:pPr>
              <w:jc w:val="center"/>
            </w:pPr>
            <w:r>
              <w:t>6,3 €</w:t>
            </w:r>
          </w:p>
        </w:tc>
      </w:tr>
      <w:tr w:rsidR="00A56FD5" w14:paraId="0C29B471" w14:textId="77777777" w:rsidTr="000B69C6">
        <w:trPr>
          <w:jc w:val="center"/>
        </w:trPr>
        <w:tc>
          <w:tcPr>
            <w:tcW w:w="2509" w:type="dxa"/>
          </w:tcPr>
          <w:p w14:paraId="2A4F58D9" w14:textId="77777777" w:rsidR="00A56FD5" w:rsidRDefault="00A56FD5" w:rsidP="00A56FD5">
            <w:pPr>
              <w:jc w:val="left"/>
            </w:pPr>
            <w:r>
              <w:t>Total</w:t>
            </w:r>
          </w:p>
        </w:tc>
        <w:tc>
          <w:tcPr>
            <w:tcW w:w="1883" w:type="dxa"/>
          </w:tcPr>
          <w:p w14:paraId="411045D0" w14:textId="77777777" w:rsidR="00A56FD5" w:rsidRDefault="00A56FD5" w:rsidP="00A56FD5">
            <w:pPr>
              <w:jc w:val="center"/>
            </w:pPr>
            <w:r>
              <w:t>-</w:t>
            </w:r>
          </w:p>
        </w:tc>
        <w:tc>
          <w:tcPr>
            <w:tcW w:w="1142" w:type="dxa"/>
          </w:tcPr>
          <w:p w14:paraId="28531342" w14:textId="77777777" w:rsidR="00A56FD5" w:rsidRDefault="00A56FD5" w:rsidP="00A56FD5">
            <w:pPr>
              <w:jc w:val="center"/>
            </w:pPr>
            <w:r>
              <w:t>-</w:t>
            </w:r>
          </w:p>
        </w:tc>
        <w:tc>
          <w:tcPr>
            <w:tcW w:w="2025" w:type="dxa"/>
          </w:tcPr>
          <w:p w14:paraId="16168486" w14:textId="77777777" w:rsidR="00A56FD5" w:rsidRDefault="00A56FD5" w:rsidP="00A56FD5">
            <w:pPr>
              <w:jc w:val="center"/>
            </w:pPr>
            <w:r>
              <w:t>-</w:t>
            </w:r>
          </w:p>
        </w:tc>
        <w:tc>
          <w:tcPr>
            <w:tcW w:w="1792" w:type="dxa"/>
          </w:tcPr>
          <w:p w14:paraId="78E6CF55" w14:textId="77777777" w:rsidR="00A56FD5" w:rsidRDefault="00A56FD5" w:rsidP="00A56FD5">
            <w:pPr>
              <w:jc w:val="center"/>
            </w:pPr>
            <w:r>
              <w:t>-</w:t>
            </w:r>
          </w:p>
        </w:tc>
        <w:tc>
          <w:tcPr>
            <w:tcW w:w="1417" w:type="dxa"/>
          </w:tcPr>
          <w:p w14:paraId="49ACFB18" w14:textId="77777777" w:rsidR="00A56FD5" w:rsidRDefault="00A56FD5" w:rsidP="00A56FD5">
            <w:pPr>
              <w:jc w:val="center"/>
            </w:pPr>
            <w:r>
              <w:t>6,93 €</w:t>
            </w:r>
          </w:p>
        </w:tc>
      </w:tr>
    </w:tbl>
    <w:p w14:paraId="31EE8C1F" w14:textId="5BE6581A" w:rsidR="00A56FD5" w:rsidRDefault="00522320" w:rsidP="00FA4D29">
      <w:pPr>
        <w:pStyle w:val="Titre5"/>
      </w:pPr>
      <w:r>
        <w:t xml:space="preserve">PCR en temps réel </w:t>
      </w:r>
      <w:proofErr w:type="spellStart"/>
      <w:r w:rsidR="00A56FD5">
        <w:t>Geno</w:t>
      </w:r>
      <w:r w:rsidR="00A56FD5" w:rsidRPr="00A56FD5">
        <w:rPr>
          <w:i/>
        </w:rPr>
        <w:t>Listeria</w:t>
      </w:r>
      <w:proofErr w:type="spellEnd"/>
      <w:r w:rsidR="00A56FD5">
        <w:t xml:space="preserve"> triplex</w:t>
      </w:r>
    </w:p>
    <w:p w14:paraId="07C22373" w14:textId="2E05363C" w:rsidR="00A56FD5" w:rsidRDefault="00A56FD5" w:rsidP="00A56FD5">
      <w:r>
        <w:t>Le co</w:t>
      </w:r>
      <w:r w:rsidR="00522320">
        <w:t>û</w:t>
      </w:r>
      <w:r>
        <w:t xml:space="preserve">t de </w:t>
      </w:r>
      <w:r w:rsidR="00522320">
        <w:t xml:space="preserve">la PCR en temps réel </w:t>
      </w:r>
      <w:proofErr w:type="spellStart"/>
      <w:r>
        <w:t>Geno</w:t>
      </w:r>
      <w:r w:rsidRPr="00B41BE9">
        <w:rPr>
          <w:i/>
        </w:rPr>
        <w:t>Listeria</w:t>
      </w:r>
      <w:proofErr w:type="spellEnd"/>
      <w:r>
        <w:t xml:space="preserve"> triplex est lié au nombre de PCR </w:t>
      </w:r>
      <w:r w:rsidR="00522320">
        <w:t xml:space="preserve">en temps réel </w:t>
      </w:r>
      <w:r>
        <w:t xml:space="preserve">triplex à réaliser </w:t>
      </w:r>
      <w:r w:rsidR="00506DE5">
        <w:t>afin d’identifier</w:t>
      </w:r>
      <w:r>
        <w:t xml:space="preserve"> le </w:t>
      </w:r>
      <w:r w:rsidR="00506DE5">
        <w:t>CC</w:t>
      </w:r>
      <w:r>
        <w:t xml:space="preserve"> de la souche </w:t>
      </w:r>
      <w:r w:rsidR="00506DE5">
        <w:t>testée</w:t>
      </w:r>
      <w:r>
        <w:t xml:space="preserve">. Au minimum 2 PCR </w:t>
      </w:r>
      <w:r w:rsidR="00506DE5">
        <w:t xml:space="preserve">en temps réel </w:t>
      </w:r>
      <w:r>
        <w:t xml:space="preserve">triplex sont réalisées pour l’analyse d’une souche, au maximum 8 PCR </w:t>
      </w:r>
      <w:r w:rsidR="00506DE5">
        <w:t xml:space="preserve">en temps réel </w:t>
      </w:r>
      <w:r>
        <w:t>triplex peuvent être réalisées pour typer une souche.</w:t>
      </w:r>
      <w:r w:rsidR="00506DE5">
        <w:t xml:space="preserve"> Le coû</w:t>
      </w:r>
      <w:r>
        <w:t>t unitaire de chaque analyse</w:t>
      </w:r>
      <w:r w:rsidR="00506DE5">
        <w:t>,</w:t>
      </w:r>
      <w:r>
        <w:t xml:space="preserve"> sur la base </w:t>
      </w:r>
      <w:r w:rsidR="00506DE5">
        <w:t>du coût</w:t>
      </w:r>
      <w:r w:rsidR="00365EAE">
        <w:t xml:space="preserve"> d’une PCR </w:t>
      </w:r>
      <w:r w:rsidR="00506DE5">
        <w:t xml:space="preserve">en temps réel </w:t>
      </w:r>
      <w:r w:rsidR="00365EAE">
        <w:t>triplex à</w:t>
      </w:r>
      <w:r>
        <w:t xml:space="preserve"> 0,83€</w:t>
      </w:r>
      <w:r w:rsidR="00506DE5">
        <w:t>,</w:t>
      </w:r>
      <w:r>
        <w:t xml:space="preserve"> va de 1,66 € à 6,64 €</w:t>
      </w:r>
      <w:r w:rsidR="00506DE5">
        <w:t xml:space="preserve"> (</w:t>
      </w:r>
      <w:r w:rsidR="00506DE5">
        <w:fldChar w:fldCharType="begin"/>
      </w:r>
      <w:r w:rsidR="00506DE5">
        <w:instrText xml:space="preserve"> REF _Ref72339900 \h </w:instrText>
      </w:r>
      <w:r w:rsidR="00506DE5">
        <w:fldChar w:fldCharType="separate"/>
      </w:r>
      <w:r w:rsidR="00506DE5">
        <w:t xml:space="preserve">Tableau </w:t>
      </w:r>
      <w:r w:rsidR="00506DE5">
        <w:rPr>
          <w:noProof/>
        </w:rPr>
        <w:t>12</w:t>
      </w:r>
      <w:r w:rsidR="00506DE5">
        <w:fldChar w:fldCharType="end"/>
      </w:r>
      <w:r w:rsidR="00506DE5">
        <w:t>)</w:t>
      </w:r>
      <w:r>
        <w:t>. Le co</w:t>
      </w:r>
      <w:r w:rsidR="00506DE5">
        <w:t>û</w:t>
      </w:r>
      <w:r>
        <w:t>t fixe de l’extraction et des consommables plastiques est le même que pour la méthode haut débit évalué à 2 € par souche (section 2.6.8.1). Cette méthode nécessite plus de main d’œuvre. Elle est cependant plus flexible et fonctionne sur des appareils de PCR en temps réel conventionnel.</w:t>
      </w:r>
    </w:p>
    <w:p w14:paraId="2E1D4A55" w14:textId="2C788F1A" w:rsidR="003E5038" w:rsidRDefault="003E5038" w:rsidP="00A56FD5"/>
    <w:p w14:paraId="281698CF" w14:textId="1CD71E35" w:rsidR="00506DE5" w:rsidRDefault="00506DE5" w:rsidP="00A56FD5"/>
    <w:p w14:paraId="03AE911A" w14:textId="01DFDEDC" w:rsidR="00506DE5" w:rsidRDefault="00506DE5" w:rsidP="00A56FD5"/>
    <w:p w14:paraId="04754650" w14:textId="2DA9D6F9" w:rsidR="00506DE5" w:rsidRDefault="00506DE5" w:rsidP="00A56FD5"/>
    <w:p w14:paraId="67A8E812" w14:textId="726D0ED9" w:rsidR="00506DE5" w:rsidRDefault="00506DE5" w:rsidP="00A56FD5"/>
    <w:p w14:paraId="5CDF9424" w14:textId="77777777" w:rsidR="00506DE5" w:rsidRDefault="00506DE5" w:rsidP="00A56FD5"/>
    <w:p w14:paraId="3DD6B53D" w14:textId="4782C152" w:rsidR="00A56FD5" w:rsidRDefault="003E5038" w:rsidP="003E5038">
      <w:pPr>
        <w:pStyle w:val="Lgende"/>
      </w:pPr>
      <w:bookmarkStart w:id="75" w:name="_Ref72339900"/>
      <w:bookmarkStart w:id="76" w:name="_Toc73027722"/>
      <w:r>
        <w:lastRenderedPageBreak/>
        <w:t xml:space="preserve">Tableau </w:t>
      </w:r>
      <w:r w:rsidR="00657B21">
        <w:fldChar w:fldCharType="begin"/>
      </w:r>
      <w:r w:rsidR="00657B21">
        <w:instrText xml:space="preserve"> SEQ Tableau \* ARABIC </w:instrText>
      </w:r>
      <w:r w:rsidR="00657B21">
        <w:fldChar w:fldCharType="separate"/>
      </w:r>
      <w:r>
        <w:rPr>
          <w:noProof/>
        </w:rPr>
        <w:t>12</w:t>
      </w:r>
      <w:r w:rsidR="00657B21">
        <w:rPr>
          <w:noProof/>
        </w:rPr>
        <w:fldChar w:fldCharType="end"/>
      </w:r>
      <w:bookmarkEnd w:id="75"/>
      <w:r w:rsidR="00506DE5">
        <w:t>: Coû</w:t>
      </w:r>
      <w:r w:rsidR="00A56FD5">
        <w:t xml:space="preserve">t d’une PCR </w:t>
      </w:r>
      <w:r w:rsidR="00506DE5">
        <w:t xml:space="preserve">en temps réel </w:t>
      </w:r>
      <w:r w:rsidR="00A56FD5">
        <w:t>triplex</w:t>
      </w:r>
      <w:bookmarkEnd w:id="76"/>
    </w:p>
    <w:tbl>
      <w:tblPr>
        <w:tblStyle w:val="Grilledutableau"/>
        <w:tblW w:w="10632" w:type="dxa"/>
        <w:jc w:val="center"/>
        <w:tblLook w:val="04A0" w:firstRow="1" w:lastRow="0" w:firstColumn="1" w:lastColumn="0" w:noHBand="0" w:noVBand="1"/>
      </w:tblPr>
      <w:tblGrid>
        <w:gridCol w:w="2359"/>
        <w:gridCol w:w="1930"/>
        <w:gridCol w:w="1159"/>
        <w:gridCol w:w="2065"/>
        <w:gridCol w:w="1701"/>
        <w:gridCol w:w="1418"/>
      </w:tblGrid>
      <w:tr w:rsidR="00A56FD5" w14:paraId="5E39CFBA" w14:textId="77777777" w:rsidTr="00A56FD5">
        <w:trPr>
          <w:jc w:val="center"/>
        </w:trPr>
        <w:tc>
          <w:tcPr>
            <w:tcW w:w="2359" w:type="dxa"/>
          </w:tcPr>
          <w:p w14:paraId="70F3C36B" w14:textId="77777777" w:rsidR="00A56FD5" w:rsidRDefault="00A56FD5" w:rsidP="00A56FD5">
            <w:r>
              <w:t>Réactifs pour un volume réactionnel de 25 µL</w:t>
            </w:r>
          </w:p>
        </w:tc>
        <w:tc>
          <w:tcPr>
            <w:tcW w:w="1930" w:type="dxa"/>
          </w:tcPr>
          <w:p w14:paraId="529CCD0A" w14:textId="77777777" w:rsidR="00A56FD5" w:rsidRDefault="00A56FD5" w:rsidP="00A56FD5">
            <w:r>
              <w:t>Conditionnement</w:t>
            </w:r>
          </w:p>
        </w:tc>
        <w:tc>
          <w:tcPr>
            <w:tcW w:w="1159" w:type="dxa"/>
          </w:tcPr>
          <w:p w14:paraId="6472EB7F" w14:textId="77777777" w:rsidR="00A56FD5" w:rsidRDefault="00A56FD5" w:rsidP="00A56FD5">
            <w:r>
              <w:t>Prix hors taxe</w:t>
            </w:r>
          </w:p>
        </w:tc>
        <w:tc>
          <w:tcPr>
            <w:tcW w:w="2065" w:type="dxa"/>
          </w:tcPr>
          <w:p w14:paraId="27C15270" w14:textId="77777777" w:rsidR="00A56FD5" w:rsidRDefault="00A56FD5" w:rsidP="00A56FD5">
            <w:r>
              <w:t>Volume unitaire utilisé par souche</w:t>
            </w:r>
          </w:p>
        </w:tc>
        <w:tc>
          <w:tcPr>
            <w:tcW w:w="1701" w:type="dxa"/>
          </w:tcPr>
          <w:p w14:paraId="3E844A5C" w14:textId="697A2566" w:rsidR="00A56FD5" w:rsidRDefault="00A56FD5" w:rsidP="00A56FD5">
            <w:r>
              <w:t>Nombre d’unité utilisé</w:t>
            </w:r>
            <w:r w:rsidR="00506DE5">
              <w:t>e</w:t>
            </w:r>
            <w:r>
              <w:t xml:space="preserve"> par triplex</w:t>
            </w:r>
          </w:p>
        </w:tc>
        <w:tc>
          <w:tcPr>
            <w:tcW w:w="1418" w:type="dxa"/>
          </w:tcPr>
          <w:p w14:paraId="742583AF" w14:textId="77777777" w:rsidR="00A56FD5" w:rsidRDefault="00A56FD5" w:rsidP="00A56FD5">
            <w:r>
              <w:t>Cout global par souche</w:t>
            </w:r>
          </w:p>
        </w:tc>
      </w:tr>
      <w:tr w:rsidR="00A56FD5" w14:paraId="108E3E1D" w14:textId="77777777" w:rsidTr="00A56FD5">
        <w:trPr>
          <w:jc w:val="center"/>
        </w:trPr>
        <w:tc>
          <w:tcPr>
            <w:tcW w:w="2359" w:type="dxa"/>
          </w:tcPr>
          <w:p w14:paraId="6AE2F5D9" w14:textId="77777777" w:rsidR="00A56FD5" w:rsidRDefault="00A56FD5" w:rsidP="00A56FD5">
            <w:r>
              <w:t xml:space="preserve">Sonde </w:t>
            </w:r>
            <w:proofErr w:type="spellStart"/>
            <w:r>
              <w:t>Taqman</w:t>
            </w:r>
            <w:proofErr w:type="spellEnd"/>
            <w:r>
              <w:rPr>
                <w:rFonts w:ascii="Arial Narrow" w:hAnsi="Arial Narrow"/>
              </w:rPr>
              <w:t>®</w:t>
            </w:r>
          </w:p>
        </w:tc>
        <w:tc>
          <w:tcPr>
            <w:tcW w:w="1930" w:type="dxa"/>
          </w:tcPr>
          <w:p w14:paraId="1FFE7986" w14:textId="77777777" w:rsidR="00A56FD5" w:rsidRDefault="00A56FD5" w:rsidP="00A56FD5">
            <w:pPr>
              <w:jc w:val="center"/>
            </w:pPr>
            <w:r>
              <w:t>150 µL</w:t>
            </w:r>
          </w:p>
        </w:tc>
        <w:tc>
          <w:tcPr>
            <w:tcW w:w="1159" w:type="dxa"/>
          </w:tcPr>
          <w:p w14:paraId="0088CE8B" w14:textId="77777777" w:rsidR="00A56FD5" w:rsidRDefault="00A56FD5" w:rsidP="00A56FD5">
            <w:pPr>
              <w:jc w:val="center"/>
            </w:pPr>
            <w:r>
              <w:t>190 €</w:t>
            </w:r>
          </w:p>
        </w:tc>
        <w:tc>
          <w:tcPr>
            <w:tcW w:w="2065" w:type="dxa"/>
          </w:tcPr>
          <w:p w14:paraId="1B685B34" w14:textId="77777777" w:rsidR="00A56FD5" w:rsidRDefault="00A56FD5" w:rsidP="00A56FD5">
            <w:pPr>
              <w:jc w:val="center"/>
            </w:pPr>
            <w:r>
              <w:t>0,06 µL</w:t>
            </w:r>
          </w:p>
        </w:tc>
        <w:tc>
          <w:tcPr>
            <w:tcW w:w="1701" w:type="dxa"/>
          </w:tcPr>
          <w:p w14:paraId="0D7F8FEB" w14:textId="77777777" w:rsidR="00A56FD5" w:rsidRDefault="00A56FD5" w:rsidP="00A56FD5">
            <w:pPr>
              <w:jc w:val="center"/>
            </w:pPr>
            <w:r>
              <w:t>3</w:t>
            </w:r>
          </w:p>
        </w:tc>
        <w:tc>
          <w:tcPr>
            <w:tcW w:w="1418" w:type="dxa"/>
          </w:tcPr>
          <w:p w14:paraId="71C0E7EC" w14:textId="77777777" w:rsidR="00A56FD5" w:rsidRDefault="00A56FD5" w:rsidP="00A56FD5">
            <w:pPr>
              <w:jc w:val="center"/>
            </w:pPr>
            <w:r>
              <w:t>0,23 €</w:t>
            </w:r>
          </w:p>
        </w:tc>
      </w:tr>
      <w:tr w:rsidR="00A56FD5" w14:paraId="20644967" w14:textId="77777777" w:rsidTr="00A56FD5">
        <w:trPr>
          <w:jc w:val="center"/>
        </w:trPr>
        <w:tc>
          <w:tcPr>
            <w:tcW w:w="2359" w:type="dxa"/>
          </w:tcPr>
          <w:p w14:paraId="3BF193A9" w14:textId="77777777" w:rsidR="00A56FD5" w:rsidRDefault="00A56FD5" w:rsidP="00A56FD5">
            <w:r>
              <w:t>Amorces</w:t>
            </w:r>
          </w:p>
        </w:tc>
        <w:tc>
          <w:tcPr>
            <w:tcW w:w="1930" w:type="dxa"/>
          </w:tcPr>
          <w:p w14:paraId="3DBA8BEB" w14:textId="77777777" w:rsidR="00A56FD5" w:rsidRDefault="00A56FD5" w:rsidP="00A56FD5">
            <w:pPr>
              <w:jc w:val="center"/>
            </w:pPr>
            <w:r>
              <w:t>250 µL</w:t>
            </w:r>
          </w:p>
        </w:tc>
        <w:tc>
          <w:tcPr>
            <w:tcW w:w="1159" w:type="dxa"/>
          </w:tcPr>
          <w:p w14:paraId="389681D3" w14:textId="77777777" w:rsidR="00A56FD5" w:rsidRDefault="00A56FD5" w:rsidP="00A56FD5">
            <w:pPr>
              <w:jc w:val="center"/>
            </w:pPr>
            <w:r>
              <w:t>9 €</w:t>
            </w:r>
          </w:p>
        </w:tc>
        <w:tc>
          <w:tcPr>
            <w:tcW w:w="2065" w:type="dxa"/>
          </w:tcPr>
          <w:p w14:paraId="00FF5220" w14:textId="77777777" w:rsidR="00A56FD5" w:rsidRDefault="00A56FD5" w:rsidP="00A56FD5">
            <w:pPr>
              <w:jc w:val="center"/>
            </w:pPr>
            <w:r>
              <w:t>0,06 µL</w:t>
            </w:r>
          </w:p>
        </w:tc>
        <w:tc>
          <w:tcPr>
            <w:tcW w:w="1701" w:type="dxa"/>
          </w:tcPr>
          <w:p w14:paraId="5DFE3A43" w14:textId="77777777" w:rsidR="00A56FD5" w:rsidRDefault="00A56FD5" w:rsidP="00A56FD5">
            <w:pPr>
              <w:jc w:val="center"/>
            </w:pPr>
            <w:r>
              <w:t>6</w:t>
            </w:r>
          </w:p>
        </w:tc>
        <w:tc>
          <w:tcPr>
            <w:tcW w:w="1418" w:type="dxa"/>
          </w:tcPr>
          <w:p w14:paraId="7D0E15B9" w14:textId="77777777" w:rsidR="00A56FD5" w:rsidRDefault="00A56FD5" w:rsidP="00A56FD5">
            <w:pPr>
              <w:jc w:val="center"/>
            </w:pPr>
            <w:r>
              <w:t>0,001 €</w:t>
            </w:r>
          </w:p>
        </w:tc>
      </w:tr>
      <w:tr w:rsidR="00A56FD5" w14:paraId="70AE896B" w14:textId="77777777" w:rsidTr="00A56FD5">
        <w:trPr>
          <w:jc w:val="center"/>
        </w:trPr>
        <w:tc>
          <w:tcPr>
            <w:tcW w:w="2359" w:type="dxa"/>
          </w:tcPr>
          <w:p w14:paraId="4260BD2C" w14:textId="77777777" w:rsidR="00A56FD5" w:rsidRDefault="00A56FD5" w:rsidP="00A56FD5">
            <w:r>
              <w:t xml:space="preserve">Master mix </w:t>
            </w:r>
            <w:proofErr w:type="spellStart"/>
            <w:r>
              <w:t>Quantabio</w:t>
            </w:r>
            <w:proofErr w:type="spellEnd"/>
            <w:r>
              <w:rPr>
                <w:rFonts w:ascii="Arial Narrow" w:hAnsi="Arial Narrow"/>
              </w:rPr>
              <w:t>®</w:t>
            </w:r>
          </w:p>
        </w:tc>
        <w:tc>
          <w:tcPr>
            <w:tcW w:w="1930" w:type="dxa"/>
          </w:tcPr>
          <w:p w14:paraId="14462923" w14:textId="77777777" w:rsidR="00A56FD5" w:rsidRDefault="00A56FD5" w:rsidP="00A56FD5">
            <w:pPr>
              <w:jc w:val="center"/>
            </w:pPr>
            <w:r>
              <w:t xml:space="preserve">50 </w:t>
            </w:r>
            <w:proofErr w:type="spellStart"/>
            <w:r>
              <w:t>mL</w:t>
            </w:r>
            <w:proofErr w:type="spellEnd"/>
          </w:p>
        </w:tc>
        <w:tc>
          <w:tcPr>
            <w:tcW w:w="1159" w:type="dxa"/>
          </w:tcPr>
          <w:p w14:paraId="62A4E99F" w14:textId="77777777" w:rsidR="00A56FD5" w:rsidRDefault="00A56FD5" w:rsidP="00A56FD5">
            <w:pPr>
              <w:jc w:val="center"/>
            </w:pPr>
            <w:r>
              <w:t>3000 €</w:t>
            </w:r>
          </w:p>
        </w:tc>
        <w:tc>
          <w:tcPr>
            <w:tcW w:w="2065" w:type="dxa"/>
          </w:tcPr>
          <w:p w14:paraId="6BA364A8" w14:textId="77777777" w:rsidR="00A56FD5" w:rsidRDefault="00A56FD5" w:rsidP="00A56FD5">
            <w:pPr>
              <w:jc w:val="center"/>
            </w:pPr>
            <w:r>
              <w:t>10 µL</w:t>
            </w:r>
          </w:p>
        </w:tc>
        <w:tc>
          <w:tcPr>
            <w:tcW w:w="1701" w:type="dxa"/>
          </w:tcPr>
          <w:p w14:paraId="76597072" w14:textId="77777777" w:rsidR="00A56FD5" w:rsidRDefault="00A56FD5" w:rsidP="00A56FD5">
            <w:pPr>
              <w:jc w:val="center"/>
            </w:pPr>
            <w:r>
              <w:t>1</w:t>
            </w:r>
          </w:p>
        </w:tc>
        <w:tc>
          <w:tcPr>
            <w:tcW w:w="1418" w:type="dxa"/>
          </w:tcPr>
          <w:p w14:paraId="603BC983" w14:textId="77777777" w:rsidR="00A56FD5" w:rsidRDefault="00A56FD5" w:rsidP="00A56FD5">
            <w:pPr>
              <w:jc w:val="center"/>
            </w:pPr>
            <w:r>
              <w:t>0,6 €</w:t>
            </w:r>
          </w:p>
        </w:tc>
      </w:tr>
      <w:tr w:rsidR="00A56FD5" w14:paraId="6A35E850" w14:textId="77777777" w:rsidTr="00A56FD5">
        <w:trPr>
          <w:jc w:val="center"/>
        </w:trPr>
        <w:tc>
          <w:tcPr>
            <w:tcW w:w="2359" w:type="dxa"/>
          </w:tcPr>
          <w:p w14:paraId="72DABE1C" w14:textId="77777777" w:rsidR="00A56FD5" w:rsidRDefault="00A56FD5" w:rsidP="00A56FD5">
            <w:r>
              <w:t>Total</w:t>
            </w:r>
          </w:p>
        </w:tc>
        <w:tc>
          <w:tcPr>
            <w:tcW w:w="1930" w:type="dxa"/>
          </w:tcPr>
          <w:p w14:paraId="4CBC3C45" w14:textId="77777777" w:rsidR="00A56FD5" w:rsidRDefault="00A56FD5" w:rsidP="00A56FD5">
            <w:pPr>
              <w:jc w:val="center"/>
            </w:pPr>
            <w:r>
              <w:t>-</w:t>
            </w:r>
          </w:p>
        </w:tc>
        <w:tc>
          <w:tcPr>
            <w:tcW w:w="1159" w:type="dxa"/>
          </w:tcPr>
          <w:p w14:paraId="6C6105E5" w14:textId="77777777" w:rsidR="00A56FD5" w:rsidRDefault="00A56FD5" w:rsidP="00A56FD5">
            <w:pPr>
              <w:jc w:val="center"/>
            </w:pPr>
            <w:r>
              <w:t>-</w:t>
            </w:r>
          </w:p>
        </w:tc>
        <w:tc>
          <w:tcPr>
            <w:tcW w:w="2065" w:type="dxa"/>
          </w:tcPr>
          <w:p w14:paraId="612C126F" w14:textId="77777777" w:rsidR="00A56FD5" w:rsidRDefault="00A56FD5" w:rsidP="00A56FD5">
            <w:pPr>
              <w:jc w:val="center"/>
            </w:pPr>
            <w:r>
              <w:t>-</w:t>
            </w:r>
          </w:p>
        </w:tc>
        <w:tc>
          <w:tcPr>
            <w:tcW w:w="1701" w:type="dxa"/>
          </w:tcPr>
          <w:p w14:paraId="72CC0A0F" w14:textId="77777777" w:rsidR="00A56FD5" w:rsidRDefault="00A56FD5" w:rsidP="00A56FD5">
            <w:pPr>
              <w:jc w:val="center"/>
            </w:pPr>
            <w:r>
              <w:t>-</w:t>
            </w:r>
          </w:p>
        </w:tc>
        <w:tc>
          <w:tcPr>
            <w:tcW w:w="1418" w:type="dxa"/>
          </w:tcPr>
          <w:p w14:paraId="18AAC435" w14:textId="77777777" w:rsidR="00A56FD5" w:rsidRDefault="00A56FD5" w:rsidP="00A56FD5">
            <w:pPr>
              <w:jc w:val="center"/>
            </w:pPr>
            <w:r>
              <w:t>0,83 €</w:t>
            </w:r>
          </w:p>
        </w:tc>
      </w:tr>
    </w:tbl>
    <w:p w14:paraId="570FE208" w14:textId="5A8EE26A" w:rsidR="003F2353" w:rsidRDefault="00344A02" w:rsidP="00FC0CD4">
      <w:pPr>
        <w:pStyle w:val="Titre1"/>
        <w:spacing w:before="100" w:beforeAutospacing="1" w:after="100" w:afterAutospacing="1"/>
      </w:pPr>
      <w:bookmarkStart w:id="77" w:name="_Toc475355592"/>
      <w:bookmarkStart w:id="78" w:name="_Toc73027865"/>
      <w:r w:rsidRPr="0090118F">
        <w:t>Conclusion</w:t>
      </w:r>
      <w:r w:rsidR="004C7FF5" w:rsidRPr="0090118F">
        <w:t xml:space="preserve"> </w:t>
      </w:r>
      <w:r w:rsidR="00471485">
        <w:t>–</w:t>
      </w:r>
      <w:r w:rsidR="00FA0487" w:rsidRPr="0090118F">
        <w:t xml:space="preserve"> Perspectives</w:t>
      </w:r>
      <w:bookmarkEnd w:id="77"/>
      <w:bookmarkEnd w:id="78"/>
    </w:p>
    <w:p w14:paraId="12DD0576" w14:textId="3337120D" w:rsidR="00471485" w:rsidRDefault="00471485" w:rsidP="00471485">
      <w:pPr>
        <w:spacing w:before="100" w:beforeAutospacing="1" w:after="100" w:afterAutospacing="1"/>
        <w:ind w:firstLine="708"/>
      </w:pPr>
      <w:r>
        <w:t>En premier lieu dans cette étude, nous avons sélectionné 704 souches</w:t>
      </w:r>
      <w:r w:rsidRPr="00435668">
        <w:rPr>
          <w:iCs/>
          <w:color w:val="000000"/>
        </w:rPr>
        <w:t xml:space="preserve"> isolées </w:t>
      </w:r>
      <w:r>
        <w:rPr>
          <w:iCs/>
          <w:color w:val="000000"/>
        </w:rPr>
        <w:t xml:space="preserve">d’entreprises françaises de transformation de truites et saumons durant des projets de recherche. Cette sélection a été basée pour obtenir un maximum de diversité génétique (29 profils PFGE différents et différents </w:t>
      </w:r>
      <w:proofErr w:type="spellStart"/>
      <w:r>
        <w:rPr>
          <w:iCs/>
          <w:color w:val="000000"/>
        </w:rPr>
        <w:t>sérotypes</w:t>
      </w:r>
      <w:proofErr w:type="spellEnd"/>
      <w:r>
        <w:rPr>
          <w:iCs/>
          <w:color w:val="000000"/>
        </w:rPr>
        <w:t xml:space="preserve">/ </w:t>
      </w:r>
      <w:proofErr w:type="spellStart"/>
      <w:r>
        <w:rPr>
          <w:iCs/>
          <w:color w:val="000000"/>
        </w:rPr>
        <w:t>sérogroupes</w:t>
      </w:r>
      <w:proofErr w:type="spellEnd"/>
      <w:r>
        <w:rPr>
          <w:iCs/>
          <w:color w:val="000000"/>
        </w:rPr>
        <w:t xml:space="preserve"> avec une prépondérance pour le </w:t>
      </w:r>
      <w:proofErr w:type="spellStart"/>
      <w:r>
        <w:rPr>
          <w:iCs/>
          <w:color w:val="000000"/>
        </w:rPr>
        <w:t>sérotype</w:t>
      </w:r>
      <w:proofErr w:type="spellEnd"/>
      <w:r>
        <w:rPr>
          <w:iCs/>
          <w:color w:val="000000"/>
        </w:rPr>
        <w:t xml:space="preserve"> 1/2a) sur plusieurs années, dans diverses natures de prélèvements et diverses entreprises.</w:t>
      </w:r>
      <w:r>
        <w:t xml:space="preserve"> Les résultats obtenus dans cette première partie de l’étude ont permis d’identifier les </w:t>
      </w:r>
      <w:proofErr w:type="spellStart"/>
      <w:r>
        <w:t>CCs</w:t>
      </w:r>
      <w:proofErr w:type="spellEnd"/>
      <w:r>
        <w:t xml:space="preserve"> de 698 sur 704 souches de </w:t>
      </w:r>
      <w:r w:rsidRPr="00B77F66">
        <w:rPr>
          <w:i/>
        </w:rPr>
        <w:t xml:space="preserve">L. </w:t>
      </w:r>
      <w:proofErr w:type="spellStart"/>
      <w:r w:rsidRPr="00B77F66">
        <w:rPr>
          <w:i/>
        </w:rPr>
        <w:t>monocytogenes</w:t>
      </w:r>
      <w:proofErr w:type="spellEnd"/>
      <w:r w:rsidRPr="00B77F66">
        <w:rPr>
          <w:i/>
        </w:rPr>
        <w:t xml:space="preserve"> </w:t>
      </w:r>
      <w:r>
        <w:t xml:space="preserve">et sélectionnées à partir de leurs profils </w:t>
      </w:r>
      <w:proofErr w:type="spellStart"/>
      <w:r>
        <w:t>sérotype</w:t>
      </w:r>
      <w:proofErr w:type="spellEnd"/>
      <w:r>
        <w:t xml:space="preserve">/PFGE ou de la PCR en temps réel </w:t>
      </w:r>
      <w:proofErr w:type="spellStart"/>
      <w:r>
        <w:t>GENO</w:t>
      </w:r>
      <w:r w:rsidRPr="00E20436">
        <w:rPr>
          <w:i/>
        </w:rPr>
        <w:t>L</w:t>
      </w:r>
      <w:r>
        <w:rPr>
          <w:i/>
        </w:rPr>
        <w:t>isteria</w:t>
      </w:r>
      <w:proofErr w:type="spellEnd"/>
      <w:r w:rsidRPr="00E20436">
        <w:rPr>
          <w:i/>
        </w:rPr>
        <w:t xml:space="preserve"> </w:t>
      </w:r>
      <w:r>
        <w:t xml:space="preserve">optimisée dans le cadre de ce projet de recherche. Il faut noter que 93% des souches appartenaient aux CC121, CC26 et CC204 qui sont des </w:t>
      </w:r>
      <w:proofErr w:type="spellStart"/>
      <w:r>
        <w:t>CCs</w:t>
      </w:r>
      <w:proofErr w:type="spellEnd"/>
      <w:r>
        <w:t xml:space="preserve"> déjà décrits dans la littérature comme associés à la production alimentaire. L’identification, pour quelques souches, des CC1 et CC6 qui sont décrits dans la littérature comme pouvant être hyper-virulent et du CC9 qui pourrait être plus responsable de cas sporadiques de listérioses sont des informations à prendre en compte par les entreprises mais le lien entre la génétique d’une souche et la virulence n’est pas toujours avéré comme cela a été démontré dans la littérature. Par contre, deux </w:t>
      </w:r>
      <w:proofErr w:type="spellStart"/>
      <w:r>
        <w:t>CCs</w:t>
      </w:r>
      <w:proofErr w:type="spellEnd"/>
      <w:r>
        <w:t xml:space="preserve"> non décrit dans la filière des produits de la pêche, CC 54 et CC191, ont été identifiés dans le panel de souches sélectionnées. L’identification des </w:t>
      </w:r>
      <w:proofErr w:type="spellStart"/>
      <w:r>
        <w:t>CCs</w:t>
      </w:r>
      <w:proofErr w:type="spellEnd"/>
      <w:r>
        <w:t xml:space="preserve"> permet une </w:t>
      </w:r>
      <w:r w:rsidRPr="00C93394">
        <w:t>bonne cartographie des voies de contamination dan</w:t>
      </w:r>
      <w:r>
        <w:t xml:space="preserve">s des environnements/ aliments et les </w:t>
      </w:r>
      <w:r w:rsidRPr="00C93394">
        <w:t>lien</w:t>
      </w:r>
      <w:r>
        <w:t>s possibles lors de</w:t>
      </w:r>
      <w:r w:rsidRPr="00C93394">
        <w:t xml:space="preserve"> TIAC</w:t>
      </w:r>
      <w:r>
        <w:t xml:space="preserve"> entre les cas humains et l’aliment et/ ou l’entreprise contaminés.   </w:t>
      </w:r>
    </w:p>
    <w:p w14:paraId="0F878A95" w14:textId="77777777" w:rsidR="00471485" w:rsidRDefault="00471485" w:rsidP="00471485">
      <w:r w:rsidRPr="0015581C">
        <w:t xml:space="preserve">La méthode </w:t>
      </w:r>
      <w:r>
        <w:t xml:space="preserve">de PCR en temps réel </w:t>
      </w:r>
      <w:proofErr w:type="spellStart"/>
      <w:r w:rsidRPr="0015581C">
        <w:t>Geno</w:t>
      </w:r>
      <w:r w:rsidRPr="0015581C">
        <w:rPr>
          <w:i/>
        </w:rPr>
        <w:t>Listeria</w:t>
      </w:r>
      <w:proofErr w:type="spellEnd"/>
      <w:r w:rsidRPr="0015581C">
        <w:rPr>
          <w:i/>
        </w:rPr>
        <w:t xml:space="preserve"> </w:t>
      </w:r>
      <w:r>
        <w:t xml:space="preserve">est basée sur l’identification par PCR en réel </w:t>
      </w:r>
      <w:proofErr w:type="spellStart"/>
      <w:r>
        <w:t>Taqman</w:t>
      </w:r>
      <w:proofErr w:type="spellEnd"/>
      <w:r w:rsidRPr="00F06613">
        <w:rPr>
          <w:rFonts w:ascii="Arial Narrow" w:hAnsi="Arial Narrow"/>
          <w:vertAlign w:val="superscript"/>
        </w:rPr>
        <w:t>®</w:t>
      </w:r>
      <w:r>
        <w:rPr>
          <w:rFonts w:ascii="Arial Narrow" w:hAnsi="Arial Narrow"/>
          <w:vertAlign w:val="superscript"/>
        </w:rPr>
        <w:t xml:space="preserve"> </w:t>
      </w:r>
      <w:r>
        <w:t>de régions génomiques spécifiques et sensibles de 29 complexes clonaux (</w:t>
      </w:r>
      <w:proofErr w:type="spellStart"/>
      <w:r>
        <w:t>CCs</w:t>
      </w:r>
      <w:proofErr w:type="spellEnd"/>
      <w:r>
        <w:t xml:space="preserve">) de </w:t>
      </w:r>
      <w:r w:rsidRPr="00CD79FF">
        <w:rPr>
          <w:i/>
        </w:rPr>
        <w:t xml:space="preserve">Listeria </w:t>
      </w:r>
      <w:proofErr w:type="spellStart"/>
      <w:r w:rsidRPr="00CD79FF">
        <w:rPr>
          <w:i/>
        </w:rPr>
        <w:t>monocytogenes</w:t>
      </w:r>
      <w:proofErr w:type="spellEnd"/>
      <w:r>
        <w:t xml:space="preserve">. Cette méthode a été élaborée en se basant sur les génomes complets de 3167 souches. Pour identifier ces 29 CC, 30 couples de sondes et d’amorces ont été définis. Elles sont complétées par 6 autres couples de sondes et amorces, utilisées comme contrôles, permettant de définir les </w:t>
      </w:r>
      <w:proofErr w:type="spellStart"/>
      <w:r>
        <w:t>sérotypes</w:t>
      </w:r>
      <w:proofErr w:type="spellEnd"/>
      <w:r>
        <w:t xml:space="preserve"> moléculaires des souches </w:t>
      </w:r>
      <w:r>
        <w:fldChar w:fldCharType="begin"/>
      </w:r>
      <w:r>
        <w:instrText xml:space="preserve"> ADDIN EN.CITE &lt;EndNote&gt;&lt;Cite&gt;&lt;Author&gt;Vitullo&lt;/Author&gt;&lt;Year&gt;2013&lt;/Year&gt;&lt;RecNum&gt;1292&lt;/RecNum&gt;&lt;DisplayText&gt;(Vitullo&lt;style face="italic"&gt; et al.&lt;/style&gt;, 2013)&lt;/DisplayText&gt;&lt;record&gt;&lt;rec-number&gt;1292&lt;/rec-number&gt;&lt;foreign-keys&gt;&lt;key app="EN" db-id="xrawss2d999aevez25svdvwj909sxsvw00x2" timestamp="1621414727"&gt;1292&lt;/key&gt;&lt;/foreign-keys&gt;&lt;ref-type name="Journal Article"&gt;17&lt;/ref-type&gt;&lt;contributors&gt;&lt;authors&gt;&lt;author&gt;Vitullo, Monia&lt;/author&gt;&lt;author&gt;Grant, Kathie Ann&lt;/author&gt;&lt;author&gt;Sammarco, Michela Lucia&lt;/author&gt;&lt;author&gt;Tamburro, Manuela&lt;/author&gt;&lt;author&gt;Ripabelli, Giancarlo&lt;/author&gt;&lt;author&gt;Amar, Corinne Francoise Laurence&lt;/author&gt;&lt;/authors&gt;&lt;/contributors&gt;&lt;titles&gt;&lt;title&gt;Real-time PCRs assay for serogrouping Listeria monocytogenes and differentiation from other Listeria spp&lt;/title&gt;&lt;secondary-title&gt;Molecular and cellular probes&lt;/secondary-title&gt;&lt;/titles&gt;&lt;periodical&gt;&lt;full-title&gt;Molecular and cellular probes&lt;/full-title&gt;&lt;/periodical&gt;&lt;pages&gt;68-70&lt;/pages&gt;&lt;volume&gt;27&lt;/volume&gt;&lt;number&gt;1&lt;/number&gt;&lt;dates&gt;&lt;year&gt;2013&lt;/year&gt;&lt;/dates&gt;&lt;isbn&gt;0890-8508&lt;/isbn&gt;&lt;urls&gt;&lt;/urls&gt;&lt;/record&gt;&lt;/Cite&gt;&lt;/EndNote&gt;</w:instrText>
      </w:r>
      <w:r>
        <w:fldChar w:fldCharType="separate"/>
      </w:r>
      <w:r>
        <w:rPr>
          <w:noProof/>
        </w:rPr>
        <w:t>(Vitullo</w:t>
      </w:r>
      <w:r w:rsidRPr="003E5038">
        <w:rPr>
          <w:i/>
          <w:noProof/>
        </w:rPr>
        <w:t xml:space="preserve"> et al.</w:t>
      </w:r>
      <w:r>
        <w:rPr>
          <w:noProof/>
        </w:rPr>
        <w:t>, 2013)</w:t>
      </w:r>
      <w:r>
        <w:fldChar w:fldCharType="end"/>
      </w:r>
      <w:r>
        <w:t xml:space="preserve"> (section 2.5.3). Les résultats d’</w:t>
      </w:r>
      <w:proofErr w:type="spellStart"/>
      <w:r>
        <w:t>inclusivité</w:t>
      </w:r>
      <w:proofErr w:type="spellEnd"/>
      <w:r>
        <w:t xml:space="preserve"> et d’exclusivité montrent une concordance </w:t>
      </w:r>
      <w:r>
        <w:lastRenderedPageBreak/>
        <w:t xml:space="preserve">complète entre les résultats obtenus par la </w:t>
      </w:r>
      <w:r w:rsidRPr="0015581C">
        <w:t xml:space="preserve">méthode </w:t>
      </w:r>
      <w:r>
        <w:t xml:space="preserve">de PCR en temps réel </w:t>
      </w:r>
      <w:proofErr w:type="spellStart"/>
      <w:r>
        <w:t>Geno</w:t>
      </w:r>
      <w:r w:rsidRPr="00AC2777">
        <w:rPr>
          <w:i/>
        </w:rPr>
        <w:t>Listeria</w:t>
      </w:r>
      <w:proofErr w:type="spellEnd"/>
      <w:r>
        <w:t xml:space="preserve"> et le CC des souches obtenus par MLST. Ces résultats ont été reproduits dans le format triplex de la méthode sur un panel de souche plus réduit.</w:t>
      </w:r>
    </w:p>
    <w:p w14:paraId="5DDC4181" w14:textId="77777777" w:rsidR="00471485" w:rsidRDefault="00471485" w:rsidP="00471485">
      <w:r>
        <w:t xml:space="preserve">Le nombre d’analyses lancées de front lors du lancement d’une puce </w:t>
      </w:r>
      <w:proofErr w:type="spellStart"/>
      <w:r>
        <w:t>BioMark</w:t>
      </w:r>
      <w:proofErr w:type="spellEnd"/>
      <w:r>
        <w:rPr>
          <w:rFonts w:ascii="Arial Narrow" w:hAnsi="Arial Narrow"/>
        </w:rPr>
        <w:t xml:space="preserve">® </w:t>
      </w:r>
      <w:r w:rsidRPr="00A56FD5">
        <w:t xml:space="preserve">avec la méthode </w:t>
      </w:r>
      <w:r>
        <w:t xml:space="preserve">de PCR en temps réel </w:t>
      </w:r>
      <w:proofErr w:type="spellStart"/>
      <w:r w:rsidRPr="00A56FD5">
        <w:t>Geno</w:t>
      </w:r>
      <w:r w:rsidRPr="00A56FD5">
        <w:rPr>
          <w:i/>
        </w:rPr>
        <w:t>Listeria</w:t>
      </w:r>
      <w:proofErr w:type="spellEnd"/>
      <w:r w:rsidRPr="00A56FD5">
        <w:rPr>
          <w:i/>
        </w:rPr>
        <w:t xml:space="preserve"> </w:t>
      </w:r>
      <w:r>
        <w:t xml:space="preserve">haut débit est frappant, il permet de réaliser l’analyse de 44 extraits d’ADN par 36 tests PCR différents (1584 tests PCR) avec un temps de chargement et une vitesse de réalisation équivalente à une PCR en temps réel conventionnel. Le nombre de tests PCR maximum réalisable sur une puce </w:t>
      </w:r>
      <w:proofErr w:type="spellStart"/>
      <w:r>
        <w:t>BioMark</w:t>
      </w:r>
      <w:proofErr w:type="spellEnd"/>
      <w:r>
        <w:rPr>
          <w:rFonts w:ascii="Arial Narrow" w:hAnsi="Arial Narrow"/>
        </w:rPr>
        <w:t>®</w:t>
      </w:r>
      <w:r>
        <w:t xml:space="preserve"> est de 96, en réalisant 48 tests PCR duplex avec les </w:t>
      </w:r>
      <w:proofErr w:type="spellStart"/>
      <w:r>
        <w:t>fluorophores</w:t>
      </w:r>
      <w:proofErr w:type="spellEnd"/>
      <w:r>
        <w:t xml:space="preserve"> FAM et HEX (4224 tests PCR). Des projets sont en cours pour ajouter de nouveaux tests PCR au 36 existants, notamment les gènes identifiés dans la résistance aux biocides ou la croissance au froid par exemple. Une autre catégorie de tests PCR en temps réel porte sur l’identification de marqueurs associés aux TIAC pour accélérer les investigations en impliquant un maximum de laboratoires pouvant réaliser des PCR en temps réel dans une investigation moléculaire.</w:t>
      </w:r>
    </w:p>
    <w:p w14:paraId="65C9E7B9" w14:textId="3CE1AC7A" w:rsidR="00471485" w:rsidRDefault="00471485" w:rsidP="00471485">
      <w:r>
        <w:t xml:space="preserve">La méthode de PCR en temps réel </w:t>
      </w:r>
      <w:proofErr w:type="spellStart"/>
      <w:r>
        <w:t>Geno</w:t>
      </w:r>
      <w:r w:rsidRPr="007116B2">
        <w:rPr>
          <w:i/>
        </w:rPr>
        <w:t>Listeria</w:t>
      </w:r>
      <w:proofErr w:type="spellEnd"/>
      <w:r>
        <w:t xml:space="preserve"> pourrait être appliquée pour une détection direct sur des extraits d’ADN plus complexes que l’extrait d’ADN de souches pures. Comme déjà réalisé dans d’autres études sur des systèmes de PCR haut débit </w:t>
      </w:r>
      <w:r>
        <w:fldChar w:fldCharType="begin"/>
      </w:r>
      <w:r>
        <w:instrText xml:space="preserve"> ADDIN EN.CITE &lt;EndNote&gt;&lt;Cite&gt;&lt;Author&gt;Michelet&lt;/Author&gt;&lt;Year&gt;2014&lt;/Year&gt;&lt;RecNum&gt;1287&lt;/RecNum&gt;&lt;DisplayText&gt;(Michelet&lt;style face="italic"&gt; et al.&lt;/style&gt;, 2014)&lt;/DisplayText&gt;&lt;record&gt;&lt;rec-number&gt;1287&lt;/rec-number&gt;&lt;foreign-keys&gt;&lt;key app="EN" db-id="xrawss2d999aevez25svdvwj909sxsvw00x2" timestamp="1621414601"&gt;1287&lt;/key&gt;&lt;/foreign-keys&gt;&lt;ref-type name="Journal Article"&gt;17&lt;/ref-type&gt;&lt;contributors&gt;&lt;authors&gt;&lt;author&gt;Michelet, Lorraine&lt;/author&gt;&lt;author&gt;Delannoy, Sabine&lt;/author&gt;&lt;author&gt;Devillers, Elodie&lt;/author&gt;&lt;author&gt;Umhang, Gérald&lt;/author&gt;&lt;author&gt;Aspan, Anna&lt;/author&gt;&lt;author&gt;Juremalm, Mikael&lt;/author&gt;&lt;author&gt;Chirico, Jan&lt;/author&gt;&lt;author&gt;van der Wal, Fimme J&lt;/author&gt;&lt;author&gt;Sprong, Hein&lt;/author&gt;&lt;author&gt;Boye Pihl, Thomas P&lt;/author&gt;&lt;/authors&gt;&lt;/contributors&gt;&lt;titles&gt;&lt;title&gt;High-throughput screening of tick-borne pathogens in Europe&lt;/title&gt;&lt;secondary-title&gt;Frontiers in cellular and infection microbiology&lt;/secondary-title&gt;&lt;/titles&gt;&lt;periodical&gt;&lt;full-title&gt;Frontiers in cellular and infection microbiology&lt;/full-title&gt;&lt;/periodical&gt;&lt;pages&gt;103&lt;/pages&gt;&lt;volume&gt;4&lt;/volume&gt;&lt;dates&gt;&lt;year&gt;2014&lt;/year&gt;&lt;/dates&gt;&lt;isbn&gt;2235-2988&lt;/isbn&gt;&lt;urls&gt;&lt;/urls&gt;&lt;/record&gt;&lt;/Cite&gt;&lt;/EndNote&gt;</w:instrText>
      </w:r>
      <w:r>
        <w:fldChar w:fldCharType="separate"/>
      </w:r>
      <w:r>
        <w:rPr>
          <w:noProof/>
        </w:rPr>
        <w:t>(Michelet</w:t>
      </w:r>
      <w:r w:rsidRPr="003E5038">
        <w:rPr>
          <w:i/>
          <w:noProof/>
        </w:rPr>
        <w:t xml:space="preserve"> et al.</w:t>
      </w:r>
      <w:r>
        <w:rPr>
          <w:noProof/>
        </w:rPr>
        <w:t>, 2014)</w:t>
      </w:r>
      <w:r>
        <w:fldChar w:fldCharType="end"/>
      </w:r>
      <w:r>
        <w:t xml:space="preserve">. Cette application nécessite des tests plus poussés mais est rendu possible par l’absence de détection croisées par les tests de PCR qui permet la détection simultanée des plusieurs </w:t>
      </w:r>
      <w:proofErr w:type="spellStart"/>
      <w:r>
        <w:t>CC</w:t>
      </w:r>
      <w:r w:rsidR="005437B4">
        <w:t>s</w:t>
      </w:r>
      <w:proofErr w:type="spellEnd"/>
      <w:r>
        <w:t xml:space="preserve"> dans un même échantillon.</w:t>
      </w:r>
    </w:p>
    <w:p w14:paraId="62BC4314" w14:textId="21467885" w:rsidR="00471485" w:rsidRDefault="00893C26" w:rsidP="00893C26">
      <w:pPr>
        <w:spacing w:before="100" w:beforeAutospacing="1" w:after="100" w:afterAutospacing="1"/>
      </w:pPr>
      <w:r>
        <w:t xml:space="preserve">La détermination des </w:t>
      </w:r>
      <w:proofErr w:type="spellStart"/>
      <w:r>
        <w:t>CCs</w:t>
      </w:r>
      <w:proofErr w:type="spellEnd"/>
      <w:r>
        <w:t xml:space="preserve"> présent dans la filière et/ ou dans les entreprises devra être étendue pour permettre de faire des cartographies des voies de contamination en entreprise. Il serait intéressant de refaire des états des lieux plus récents des entreprises de la filière et de comparer les </w:t>
      </w:r>
      <w:proofErr w:type="spellStart"/>
      <w:r>
        <w:t>CCs</w:t>
      </w:r>
      <w:proofErr w:type="spellEnd"/>
      <w:r>
        <w:t xml:space="preserve"> récents avec ceux de cette étude pour faire une cartographie sur plusieurs années des ateliers. Cela permettra également de déterminer si des souches sont persistantes et de les étudier ensuite plus spécifiquement avec une approche génétique (gènes de résistance, marqueur de persistance, de biofilm, virulence…) et une approche phénotypique (</w:t>
      </w:r>
      <w:proofErr w:type="spellStart"/>
      <w:r>
        <w:t>biofim</w:t>
      </w:r>
      <w:proofErr w:type="spellEnd"/>
      <w:r>
        <w:t xml:space="preserve">, test </w:t>
      </w:r>
      <w:bookmarkStart w:id="79" w:name="_GoBack"/>
      <w:r w:rsidRPr="00893C26">
        <w:rPr>
          <w:i/>
        </w:rPr>
        <w:t>in vitro</w:t>
      </w:r>
      <w:r>
        <w:t xml:space="preserve"> </w:t>
      </w:r>
      <w:bookmarkEnd w:id="79"/>
      <w:r>
        <w:t>virulence).</w:t>
      </w:r>
    </w:p>
    <w:p w14:paraId="6F4475C4" w14:textId="77777777" w:rsidR="00471485" w:rsidRPr="00471485" w:rsidRDefault="00471485" w:rsidP="00471485">
      <w:pPr>
        <w:rPr>
          <w:lang w:eastAsia="en-US" w:bidi="en-US"/>
        </w:rPr>
      </w:pPr>
    </w:p>
    <w:p w14:paraId="175F1FDB" w14:textId="17041BAA" w:rsidR="00984050" w:rsidRDefault="00984050" w:rsidP="00D812ED">
      <w:pPr>
        <w:rPr>
          <w:snapToGrid w:val="0"/>
        </w:rPr>
      </w:pPr>
      <w:r w:rsidRPr="00FC0CD4">
        <w:rPr>
          <w:snapToGrid w:val="0"/>
        </w:rPr>
        <w:t xml:space="preserve"> </w:t>
      </w:r>
    </w:p>
    <w:p w14:paraId="0C112926" w14:textId="77777777" w:rsidR="00E557DD" w:rsidRDefault="00E557DD" w:rsidP="005B6D78">
      <w:pPr>
        <w:ind w:firstLine="708"/>
      </w:pPr>
    </w:p>
    <w:p w14:paraId="096441E4" w14:textId="77777777" w:rsidR="00FA0487" w:rsidRPr="0090118F" w:rsidRDefault="006F0654" w:rsidP="00FC0CD4">
      <w:pPr>
        <w:pStyle w:val="Titre1"/>
        <w:spacing w:before="100" w:beforeAutospacing="1" w:after="100" w:afterAutospacing="1"/>
      </w:pPr>
      <w:bookmarkStart w:id="80" w:name="_Toc475355593"/>
      <w:bookmarkStart w:id="81" w:name="_Toc73027866"/>
      <w:r w:rsidRPr="0090118F">
        <w:t>Valorisation</w:t>
      </w:r>
      <w:bookmarkEnd w:id="80"/>
      <w:bookmarkEnd w:id="81"/>
    </w:p>
    <w:p w14:paraId="66408C50" w14:textId="24BCE374" w:rsidR="006F0654" w:rsidRPr="0090118F" w:rsidRDefault="006F0654" w:rsidP="00FC0CD4">
      <w:pPr>
        <w:spacing w:before="100" w:beforeAutospacing="1" w:after="100" w:afterAutospacing="1"/>
      </w:pPr>
      <w:r w:rsidRPr="0090118F">
        <w:t xml:space="preserve">L’ensemble des données du programme </w:t>
      </w:r>
      <w:r w:rsidR="00DF3525">
        <w:t>a été présenté</w:t>
      </w:r>
      <w:r w:rsidRPr="0090118F">
        <w:t xml:space="preserve"> aux professionnels</w:t>
      </w:r>
      <w:r w:rsidR="00DF3525">
        <w:t xml:space="preserve"> et au financeur FFP lors de réunions de la CITPPM</w:t>
      </w:r>
      <w:r w:rsidRPr="0090118F">
        <w:t>.</w:t>
      </w:r>
    </w:p>
    <w:p w14:paraId="14AA8F11" w14:textId="6A5A2929" w:rsidR="003A280B" w:rsidRDefault="003A280B" w:rsidP="00FC0CD4">
      <w:pPr>
        <w:spacing w:before="100" w:beforeAutospacing="1" w:after="100" w:afterAutospacing="1"/>
      </w:pPr>
      <w:r>
        <w:lastRenderedPageBreak/>
        <w:t xml:space="preserve">- Un poster va être présenté au </w:t>
      </w:r>
      <w:r w:rsidR="00DF3525">
        <w:t>16ème</w:t>
      </w:r>
      <w:r w:rsidRPr="003A280B">
        <w:t xml:space="preserve"> congrès national de la Société Française de Microbiologie - 22-24 septembre 2021 - Cité des Congrès de Nantes.</w:t>
      </w:r>
    </w:p>
    <w:p w14:paraId="32F140E9" w14:textId="5DEF144A" w:rsidR="003A280B" w:rsidRDefault="003A280B" w:rsidP="00FC0CD4">
      <w:pPr>
        <w:spacing w:before="100" w:beforeAutospacing="1" w:after="100" w:afterAutospacing="1"/>
      </w:pPr>
      <w:r>
        <w:t xml:space="preserve">- </w:t>
      </w:r>
      <w:r w:rsidR="009E1F58">
        <w:t>U</w:t>
      </w:r>
      <w:r w:rsidR="006F0654" w:rsidRPr="0090118F">
        <w:t xml:space="preserve">ne publication est en cours de </w:t>
      </w:r>
      <w:r w:rsidR="005931EA">
        <w:t>rédaction</w:t>
      </w:r>
      <w:r w:rsidR="00ED1AA2">
        <w:t>.</w:t>
      </w:r>
    </w:p>
    <w:p w14:paraId="37EA3A0B" w14:textId="77777777" w:rsidR="00163ECF" w:rsidRPr="0090118F" w:rsidRDefault="00163ECF" w:rsidP="00FC0CD4">
      <w:pPr>
        <w:spacing w:before="100" w:beforeAutospacing="1" w:after="100" w:afterAutospacing="1"/>
      </w:pPr>
    </w:p>
    <w:p w14:paraId="071FD84D" w14:textId="77777777" w:rsidR="000D6BCF" w:rsidRPr="0090118F" w:rsidRDefault="000D6BCF" w:rsidP="00FC0CD4">
      <w:pPr>
        <w:pStyle w:val="Titre1"/>
        <w:spacing w:before="100" w:beforeAutospacing="1" w:after="100" w:afterAutospacing="1"/>
      </w:pPr>
      <w:bookmarkStart w:id="82" w:name="_Toc461530705"/>
      <w:bookmarkStart w:id="83" w:name="_Toc73027867"/>
      <w:r w:rsidRPr="0090118F">
        <w:t>Annexes</w:t>
      </w:r>
      <w:bookmarkEnd w:id="82"/>
      <w:bookmarkEnd w:id="83"/>
      <w:r w:rsidRPr="0090118F">
        <w:t xml:space="preserve"> </w:t>
      </w:r>
    </w:p>
    <w:p w14:paraId="6BB9B226" w14:textId="63BD74E7" w:rsidR="000D6BCF" w:rsidRPr="0090118F" w:rsidRDefault="006B22C9" w:rsidP="00C61BFD">
      <w:pPr>
        <w:pStyle w:val="Titre3"/>
      </w:pPr>
      <w:bookmarkStart w:id="84" w:name="_Toc73027868"/>
      <w:r>
        <w:t>Panel de souche</w:t>
      </w:r>
      <w:r w:rsidR="00FE278A">
        <w:t>s déjà typées par PFGE</w:t>
      </w:r>
      <w:r>
        <w:t xml:space="preserve"> fourni par l’ADRIA de Quimper</w:t>
      </w:r>
      <w:bookmarkEnd w:id="84"/>
    </w:p>
    <w:p w14:paraId="4DF45424" w14:textId="456F17B0" w:rsidR="0089669B" w:rsidRDefault="00FE278A" w:rsidP="00FC0CD4">
      <w:pPr>
        <w:spacing w:before="100" w:beforeAutospacing="1" w:after="100" w:afterAutospacing="1"/>
      </w:pPr>
      <w:r w:rsidRPr="00FE278A">
        <w:rPr>
          <w:noProof/>
        </w:rPr>
        <w:drawing>
          <wp:inline distT="0" distB="0" distL="0" distR="0" wp14:anchorId="45A0A0D8" wp14:editId="6C062E28">
            <wp:extent cx="6479540" cy="5407886"/>
            <wp:effectExtent l="0" t="0" r="0" b="254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79540" cy="5407886"/>
                    </a:xfrm>
                    <a:prstGeom prst="rect">
                      <a:avLst/>
                    </a:prstGeom>
                    <a:noFill/>
                    <a:ln>
                      <a:noFill/>
                    </a:ln>
                  </pic:spPr>
                </pic:pic>
              </a:graphicData>
            </a:graphic>
          </wp:inline>
        </w:drawing>
      </w:r>
    </w:p>
    <w:p w14:paraId="11359767" w14:textId="2667F561" w:rsidR="006B22C9" w:rsidRPr="0090118F" w:rsidRDefault="006B22C9" w:rsidP="006B22C9">
      <w:pPr>
        <w:pStyle w:val="Titre3"/>
      </w:pPr>
      <w:bookmarkStart w:id="85" w:name="_Toc73027869"/>
      <w:r>
        <w:lastRenderedPageBreak/>
        <w:t>Panel de souche</w:t>
      </w:r>
      <w:r w:rsidR="00FE278A">
        <w:t>s</w:t>
      </w:r>
      <w:r>
        <w:t xml:space="preserve"> </w:t>
      </w:r>
      <w:r w:rsidR="00FE278A">
        <w:t xml:space="preserve">de terrain non typées </w:t>
      </w:r>
      <w:r>
        <w:t>fournie</w:t>
      </w:r>
      <w:r w:rsidR="00FE278A">
        <w:t>s</w:t>
      </w:r>
      <w:r>
        <w:t xml:space="preserve"> par </w:t>
      </w:r>
      <w:r w:rsidR="00FE278A">
        <w:t>l’IFIP</w:t>
      </w:r>
      <w:bookmarkEnd w:id="85"/>
    </w:p>
    <w:p w14:paraId="314CB821" w14:textId="67610910" w:rsidR="0089669B" w:rsidRDefault="00FE278A" w:rsidP="00FE278A">
      <w:pPr>
        <w:spacing w:before="100" w:beforeAutospacing="1" w:after="100" w:afterAutospacing="1"/>
        <w:jc w:val="center"/>
      </w:pPr>
      <w:r w:rsidRPr="00FE278A">
        <w:rPr>
          <w:noProof/>
        </w:rPr>
        <w:drawing>
          <wp:inline distT="0" distB="0" distL="0" distR="0" wp14:anchorId="0A08005E" wp14:editId="1D0AA3FE">
            <wp:extent cx="3772222" cy="7969559"/>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77864" cy="7981480"/>
                    </a:xfrm>
                    <a:prstGeom prst="rect">
                      <a:avLst/>
                    </a:prstGeom>
                    <a:noFill/>
                    <a:ln>
                      <a:noFill/>
                    </a:ln>
                  </pic:spPr>
                </pic:pic>
              </a:graphicData>
            </a:graphic>
          </wp:inline>
        </w:drawing>
      </w:r>
    </w:p>
    <w:p w14:paraId="10A59B48" w14:textId="77777777" w:rsidR="00FE278A" w:rsidRPr="0090118F" w:rsidRDefault="00FE278A" w:rsidP="00FE278A">
      <w:pPr>
        <w:spacing w:before="100" w:beforeAutospacing="1" w:after="100" w:afterAutospacing="1"/>
        <w:jc w:val="center"/>
      </w:pPr>
    </w:p>
    <w:p w14:paraId="531AE01B" w14:textId="1E6F7D10" w:rsidR="00343890" w:rsidRDefault="00FE278A" w:rsidP="00606553">
      <w:pPr>
        <w:pStyle w:val="Titre3"/>
      </w:pPr>
      <w:bookmarkStart w:id="86" w:name="_Toc73027870"/>
      <w:r>
        <w:lastRenderedPageBreak/>
        <w:t>Panel de d’</w:t>
      </w:r>
      <w:proofErr w:type="spellStart"/>
      <w:r>
        <w:t>inclusivité</w:t>
      </w:r>
      <w:proofErr w:type="spellEnd"/>
      <w:r>
        <w:t xml:space="preserve"> de 306 souches</w:t>
      </w:r>
      <w:bookmarkEnd w:id="86"/>
    </w:p>
    <w:p w14:paraId="6CA7A07E" w14:textId="7DF5A07D" w:rsidR="00FE278A" w:rsidRDefault="00343890" w:rsidP="000F131B">
      <w:r w:rsidRPr="00FE278A">
        <w:rPr>
          <w:noProof/>
        </w:rPr>
        <w:drawing>
          <wp:inline distT="0" distB="0" distL="0" distR="0" wp14:anchorId="2BF9FF82" wp14:editId="6863CDF3">
            <wp:extent cx="6476365" cy="7743825"/>
            <wp:effectExtent l="0" t="0" r="635" b="952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148" t="1" r="-148" b="73048"/>
                    <a:stretch/>
                  </pic:blipFill>
                  <pic:spPr bwMode="auto">
                    <a:xfrm>
                      <a:off x="0" y="0"/>
                      <a:ext cx="6476365" cy="7743825"/>
                    </a:xfrm>
                    <a:prstGeom prst="rect">
                      <a:avLst/>
                    </a:prstGeom>
                    <a:noFill/>
                    <a:ln>
                      <a:noFill/>
                    </a:ln>
                    <a:extLst>
                      <a:ext uri="{53640926-AAD7-44D8-BBD7-CCE9431645EC}">
                        <a14:shadowObscured xmlns:a14="http://schemas.microsoft.com/office/drawing/2010/main"/>
                      </a:ext>
                    </a:extLst>
                  </pic:spPr>
                </pic:pic>
              </a:graphicData>
            </a:graphic>
          </wp:inline>
        </w:drawing>
      </w:r>
    </w:p>
    <w:p w14:paraId="7E48ACF8" w14:textId="0CE06069" w:rsidR="00FE278A" w:rsidRPr="00FE278A" w:rsidRDefault="00343890" w:rsidP="00FE278A">
      <w:pPr>
        <w:rPr>
          <w:lang w:eastAsia="en-US" w:bidi="en-US"/>
        </w:rPr>
      </w:pPr>
      <w:r w:rsidRPr="00FE278A">
        <w:rPr>
          <w:noProof/>
        </w:rPr>
        <w:lastRenderedPageBreak/>
        <w:drawing>
          <wp:anchor distT="0" distB="0" distL="114300" distR="114300" simplePos="0" relativeHeight="251662848" behindDoc="0" locked="0" layoutInCell="1" allowOverlap="1" wp14:anchorId="1819A3C7" wp14:editId="27982250">
            <wp:simplePos x="0" y="0"/>
            <wp:positionH relativeFrom="margin">
              <wp:align>right</wp:align>
            </wp:positionH>
            <wp:positionV relativeFrom="paragraph">
              <wp:posOffset>257478</wp:posOffset>
            </wp:positionV>
            <wp:extent cx="6476365" cy="8543925"/>
            <wp:effectExtent l="0" t="0" r="635" b="9525"/>
            <wp:wrapSquare wrapText="bothSides"/>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t="26716" b="43548"/>
                    <a:stretch/>
                  </pic:blipFill>
                  <pic:spPr bwMode="auto">
                    <a:xfrm>
                      <a:off x="0" y="0"/>
                      <a:ext cx="6476365" cy="8543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4095AA" w14:textId="1B47539E" w:rsidR="000D6BCF" w:rsidRDefault="00343890" w:rsidP="00D77D40">
      <w:pPr>
        <w:spacing w:before="100" w:beforeAutospacing="1" w:after="100" w:afterAutospacing="1"/>
        <w:jc w:val="left"/>
        <w:rPr>
          <w:sz w:val="22"/>
          <w:szCs w:val="22"/>
        </w:rPr>
      </w:pPr>
      <w:r w:rsidRPr="00FE278A">
        <w:rPr>
          <w:noProof/>
        </w:rPr>
        <w:lastRenderedPageBreak/>
        <w:drawing>
          <wp:inline distT="0" distB="0" distL="0" distR="0" wp14:anchorId="17E60D39" wp14:editId="2F469730">
            <wp:extent cx="6476365" cy="8705850"/>
            <wp:effectExtent l="0" t="0" r="635"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294" t="56286" r="294" b="13414"/>
                    <a:stretch/>
                  </pic:blipFill>
                  <pic:spPr bwMode="auto">
                    <a:xfrm>
                      <a:off x="0" y="0"/>
                      <a:ext cx="6476365" cy="8705850"/>
                    </a:xfrm>
                    <a:prstGeom prst="rect">
                      <a:avLst/>
                    </a:prstGeom>
                    <a:noFill/>
                    <a:ln>
                      <a:noFill/>
                    </a:ln>
                    <a:extLst>
                      <a:ext uri="{53640926-AAD7-44D8-BBD7-CCE9431645EC}">
                        <a14:shadowObscured xmlns:a14="http://schemas.microsoft.com/office/drawing/2010/main"/>
                      </a:ext>
                    </a:extLst>
                  </pic:spPr>
                </pic:pic>
              </a:graphicData>
            </a:graphic>
          </wp:inline>
        </w:drawing>
      </w:r>
    </w:p>
    <w:p w14:paraId="1A5F8614" w14:textId="71C84B80" w:rsidR="00343890" w:rsidRDefault="00343890" w:rsidP="00D77D40">
      <w:pPr>
        <w:spacing w:before="100" w:beforeAutospacing="1" w:after="100" w:afterAutospacing="1"/>
        <w:jc w:val="left"/>
        <w:rPr>
          <w:sz w:val="22"/>
          <w:szCs w:val="22"/>
        </w:rPr>
      </w:pPr>
      <w:r w:rsidRPr="00FE278A">
        <w:rPr>
          <w:noProof/>
        </w:rPr>
        <w:lastRenderedPageBreak/>
        <w:drawing>
          <wp:inline distT="0" distB="0" distL="0" distR="0" wp14:anchorId="33F4A55D" wp14:editId="54D3C6E7">
            <wp:extent cx="6476365" cy="4095750"/>
            <wp:effectExtent l="0" t="0" r="635"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1">
                      <a:extLst>
                        <a:ext uri="{28A0092B-C50C-407E-A947-70E740481C1C}">
                          <a14:useLocalDpi xmlns:a14="http://schemas.microsoft.com/office/drawing/2010/main" val="0"/>
                        </a:ext>
                      </a:extLst>
                    </a:blip>
                    <a:srcRect l="-736" t="86418" r="736" b="-673"/>
                    <a:stretch/>
                  </pic:blipFill>
                  <pic:spPr bwMode="auto">
                    <a:xfrm>
                      <a:off x="0" y="0"/>
                      <a:ext cx="6476365" cy="4095750"/>
                    </a:xfrm>
                    <a:prstGeom prst="rect">
                      <a:avLst/>
                    </a:prstGeom>
                    <a:noFill/>
                    <a:ln>
                      <a:noFill/>
                    </a:ln>
                    <a:extLst>
                      <a:ext uri="{53640926-AAD7-44D8-BBD7-CCE9431645EC}">
                        <a14:shadowObscured xmlns:a14="http://schemas.microsoft.com/office/drawing/2010/main"/>
                      </a:ext>
                    </a:extLst>
                  </pic:spPr>
                </pic:pic>
              </a:graphicData>
            </a:graphic>
          </wp:inline>
        </w:drawing>
      </w:r>
    </w:p>
    <w:p w14:paraId="2C055534" w14:textId="04EBD100" w:rsidR="00606553" w:rsidRDefault="00606553" w:rsidP="00606553">
      <w:pPr>
        <w:pStyle w:val="Titre3"/>
      </w:pPr>
      <w:bookmarkStart w:id="87" w:name="_Toc73027871"/>
      <w:r>
        <w:lastRenderedPageBreak/>
        <w:t>Panel d’exclusivité de 86 souches</w:t>
      </w:r>
      <w:bookmarkEnd w:id="87"/>
    </w:p>
    <w:p w14:paraId="65BD92E9" w14:textId="5C8F2906" w:rsidR="00606553" w:rsidRDefault="00606553" w:rsidP="00606553">
      <w:pPr>
        <w:rPr>
          <w:lang w:eastAsia="en-US" w:bidi="en-US"/>
        </w:rPr>
      </w:pPr>
      <w:r w:rsidRPr="00606553">
        <w:rPr>
          <w:noProof/>
        </w:rPr>
        <w:drawing>
          <wp:inline distT="0" distB="0" distL="0" distR="0" wp14:anchorId="2B0531FA" wp14:editId="79133713">
            <wp:extent cx="6479540" cy="6270523"/>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79540" cy="6270523"/>
                    </a:xfrm>
                    <a:prstGeom prst="rect">
                      <a:avLst/>
                    </a:prstGeom>
                    <a:noFill/>
                    <a:ln>
                      <a:noFill/>
                    </a:ln>
                  </pic:spPr>
                </pic:pic>
              </a:graphicData>
            </a:graphic>
          </wp:inline>
        </w:drawing>
      </w:r>
    </w:p>
    <w:p w14:paraId="7B25C589" w14:textId="6C5EA720" w:rsidR="00606553" w:rsidRDefault="00606553" w:rsidP="00606553">
      <w:pPr>
        <w:pStyle w:val="Titre3"/>
      </w:pPr>
      <w:bookmarkStart w:id="88" w:name="_Toc73027872"/>
      <w:r>
        <w:lastRenderedPageBreak/>
        <w:t xml:space="preserve">Panel </w:t>
      </w:r>
      <w:r w:rsidR="00D77D40">
        <w:t xml:space="preserve">de souches utilisé pour l’évaluation de </w:t>
      </w:r>
      <w:r w:rsidR="00DF3525">
        <w:t xml:space="preserve">la PCR en temps réel </w:t>
      </w:r>
      <w:proofErr w:type="spellStart"/>
      <w:r w:rsidR="00D77D40">
        <w:t>Geno</w:t>
      </w:r>
      <w:r w:rsidR="00D77D40" w:rsidRPr="00D77D40">
        <w:rPr>
          <w:i/>
        </w:rPr>
        <w:t>Listeria</w:t>
      </w:r>
      <w:proofErr w:type="spellEnd"/>
      <w:r w:rsidR="00D77D40">
        <w:t xml:space="preserve"> triplex</w:t>
      </w:r>
      <w:bookmarkEnd w:id="88"/>
    </w:p>
    <w:p w14:paraId="17776BAA" w14:textId="1F2CB472" w:rsidR="000426A4" w:rsidRPr="000426A4" w:rsidRDefault="000426A4" w:rsidP="000426A4">
      <w:pPr>
        <w:rPr>
          <w:lang w:eastAsia="en-US" w:bidi="en-US"/>
        </w:rPr>
      </w:pPr>
      <w:r w:rsidRPr="000426A4">
        <w:rPr>
          <w:noProof/>
        </w:rPr>
        <w:drawing>
          <wp:inline distT="0" distB="0" distL="0" distR="0" wp14:anchorId="11134AB7" wp14:editId="6C9A46FD">
            <wp:extent cx="5819013" cy="834887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a:extLst>
                        <a:ext uri="{28A0092B-C50C-407E-A947-70E740481C1C}">
                          <a14:useLocalDpi xmlns:a14="http://schemas.microsoft.com/office/drawing/2010/main" val="0"/>
                        </a:ext>
                      </a:extLst>
                    </a:blip>
                    <a:srcRect l="-410" t="-64" r="410" b="36805"/>
                    <a:stretch/>
                  </pic:blipFill>
                  <pic:spPr bwMode="auto">
                    <a:xfrm>
                      <a:off x="0" y="0"/>
                      <a:ext cx="5822396" cy="8353724"/>
                    </a:xfrm>
                    <a:prstGeom prst="rect">
                      <a:avLst/>
                    </a:prstGeom>
                    <a:noFill/>
                    <a:ln>
                      <a:noFill/>
                    </a:ln>
                    <a:extLst>
                      <a:ext uri="{53640926-AAD7-44D8-BBD7-CCE9431645EC}">
                        <a14:shadowObscured xmlns:a14="http://schemas.microsoft.com/office/drawing/2010/main"/>
                      </a:ext>
                    </a:extLst>
                  </pic:spPr>
                </pic:pic>
              </a:graphicData>
            </a:graphic>
          </wp:inline>
        </w:drawing>
      </w:r>
    </w:p>
    <w:p w14:paraId="26E4E641" w14:textId="6A514DCA" w:rsidR="000426A4" w:rsidRPr="000426A4" w:rsidRDefault="000426A4" w:rsidP="000426A4">
      <w:pPr>
        <w:rPr>
          <w:lang w:eastAsia="en-US" w:bidi="en-US"/>
        </w:rPr>
      </w:pPr>
      <w:r w:rsidRPr="000426A4">
        <w:rPr>
          <w:noProof/>
        </w:rPr>
        <w:lastRenderedPageBreak/>
        <w:drawing>
          <wp:inline distT="0" distB="0" distL="0" distR="0" wp14:anchorId="64AB8B99" wp14:editId="5CBCBA27">
            <wp:extent cx="5818505" cy="4929809"/>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a:extLst>
                        <a:ext uri="{28A0092B-C50C-407E-A947-70E740481C1C}">
                          <a14:useLocalDpi xmlns:a14="http://schemas.microsoft.com/office/drawing/2010/main" val="0"/>
                        </a:ext>
                      </a:extLst>
                    </a:blip>
                    <a:srcRect l="275" t="63016" r="-275" b="-372"/>
                    <a:stretch/>
                  </pic:blipFill>
                  <pic:spPr bwMode="auto">
                    <a:xfrm>
                      <a:off x="0" y="0"/>
                      <a:ext cx="5822396" cy="4933106"/>
                    </a:xfrm>
                    <a:prstGeom prst="rect">
                      <a:avLst/>
                    </a:prstGeom>
                    <a:noFill/>
                    <a:ln>
                      <a:noFill/>
                    </a:ln>
                    <a:extLst>
                      <a:ext uri="{53640926-AAD7-44D8-BBD7-CCE9431645EC}">
                        <a14:shadowObscured xmlns:a14="http://schemas.microsoft.com/office/drawing/2010/main"/>
                      </a:ext>
                    </a:extLst>
                  </pic:spPr>
                </pic:pic>
              </a:graphicData>
            </a:graphic>
          </wp:inline>
        </w:drawing>
      </w:r>
    </w:p>
    <w:p w14:paraId="33BA8622" w14:textId="37296A67" w:rsidR="006A2172" w:rsidRPr="008D0CB2" w:rsidRDefault="006A2172" w:rsidP="00FC0CD4">
      <w:pPr>
        <w:pStyle w:val="Titre1"/>
        <w:spacing w:before="100" w:beforeAutospacing="1" w:after="100" w:afterAutospacing="1"/>
        <w:rPr>
          <w:rFonts w:ascii="Times New Roman" w:hAnsi="Times New Roman"/>
          <w:sz w:val="24"/>
          <w:szCs w:val="24"/>
        </w:rPr>
      </w:pPr>
      <w:bookmarkStart w:id="89" w:name="_Toc475355594"/>
      <w:bookmarkStart w:id="90" w:name="_Toc73027873"/>
      <w:r w:rsidRPr="008D0CB2">
        <w:rPr>
          <w:rFonts w:ascii="Times New Roman" w:hAnsi="Times New Roman"/>
          <w:sz w:val="24"/>
          <w:szCs w:val="24"/>
        </w:rPr>
        <w:t>Références</w:t>
      </w:r>
      <w:bookmarkEnd w:id="89"/>
      <w:bookmarkEnd w:id="90"/>
    </w:p>
    <w:p w14:paraId="1F35411F" w14:textId="17015983" w:rsidR="0080229C" w:rsidRPr="00E01E4C" w:rsidRDefault="006A2172" w:rsidP="0080229C">
      <w:pPr>
        <w:pStyle w:val="EndNoteBibliography"/>
        <w:spacing w:after="0"/>
        <w:rPr>
          <w:lang w:val="en-US"/>
        </w:rPr>
      </w:pPr>
      <w:r w:rsidRPr="008D0CB2">
        <w:rPr>
          <w:rFonts w:ascii="Times New Roman" w:hAnsi="Times New Roman" w:cs="Times New Roman"/>
          <w:sz w:val="24"/>
          <w:szCs w:val="24"/>
        </w:rPr>
        <w:fldChar w:fldCharType="begin"/>
      </w:r>
      <w:r w:rsidRPr="00C91B66">
        <w:rPr>
          <w:rFonts w:ascii="Times New Roman" w:hAnsi="Times New Roman" w:cs="Times New Roman"/>
          <w:sz w:val="24"/>
          <w:szCs w:val="24"/>
          <w:lang w:val="en-US"/>
        </w:rPr>
        <w:instrText xml:space="preserve"> ADDIN EN.REFLIST </w:instrText>
      </w:r>
      <w:r w:rsidRPr="008D0CB2">
        <w:rPr>
          <w:rFonts w:ascii="Times New Roman" w:hAnsi="Times New Roman" w:cs="Times New Roman"/>
          <w:sz w:val="24"/>
          <w:szCs w:val="24"/>
        </w:rPr>
        <w:fldChar w:fldCharType="separate"/>
      </w:r>
      <w:r w:rsidR="0080229C" w:rsidRPr="00E01E4C">
        <w:rPr>
          <w:lang w:val="en-US"/>
        </w:rPr>
        <w:t xml:space="preserve">Amagliani G, Giammarini C, Omiccioli E, Brandi G &amp; Magnani M (2007) Detection of Listeria monocytogenes using a commercial PCR kit and different DNA extraction methods. </w:t>
      </w:r>
      <w:r w:rsidR="0080229C" w:rsidRPr="00E01E4C">
        <w:rPr>
          <w:i/>
          <w:lang w:val="en-US"/>
        </w:rPr>
        <w:t>Food Control</w:t>
      </w:r>
      <w:r w:rsidR="0080229C" w:rsidRPr="00E01E4C">
        <w:rPr>
          <w:lang w:val="en-US"/>
        </w:rPr>
        <w:t xml:space="preserve"> </w:t>
      </w:r>
      <w:r w:rsidR="0080229C" w:rsidRPr="00E01E4C">
        <w:rPr>
          <w:b/>
          <w:lang w:val="en-US"/>
        </w:rPr>
        <w:t>18</w:t>
      </w:r>
      <w:r w:rsidR="0080229C" w:rsidRPr="00E01E4C">
        <w:rPr>
          <w:lang w:val="en-US"/>
        </w:rPr>
        <w:t>: 1137-1142.</w:t>
      </w:r>
    </w:p>
    <w:p w14:paraId="29D3B3A8" w14:textId="77777777" w:rsidR="00B03E22" w:rsidRPr="00E01E4C" w:rsidRDefault="00B03E22" w:rsidP="0080229C">
      <w:pPr>
        <w:pStyle w:val="EndNoteBibliography"/>
        <w:spacing w:after="0"/>
        <w:rPr>
          <w:lang w:val="en-US"/>
        </w:rPr>
      </w:pPr>
    </w:p>
    <w:p w14:paraId="225A7DEE" w14:textId="72A3FD3C" w:rsidR="0080229C" w:rsidRPr="00E01E4C" w:rsidRDefault="0080229C" w:rsidP="0080229C">
      <w:pPr>
        <w:pStyle w:val="EndNoteBibliography"/>
        <w:spacing w:after="0"/>
        <w:rPr>
          <w:lang w:val="en-US"/>
        </w:rPr>
      </w:pPr>
      <w:r w:rsidRPr="00E01E4C">
        <w:rPr>
          <w:lang w:val="en-US"/>
        </w:rPr>
        <w:t xml:space="preserve">Authority EFS, Prevention ECfD &amp; Control (2018) Multi‐country outbreak of Listeria monocytogenes serogroup IV b, multi‐locus sequence type 6, infections linked to frozen corn and possibly to other frozen vegetables–first update. </w:t>
      </w:r>
      <w:r w:rsidRPr="00E01E4C">
        <w:rPr>
          <w:i/>
          <w:lang w:val="en-US"/>
        </w:rPr>
        <w:t>EFSA Supporting Publications</w:t>
      </w:r>
      <w:r w:rsidRPr="00E01E4C">
        <w:rPr>
          <w:lang w:val="en-US"/>
        </w:rPr>
        <w:t xml:space="preserve"> </w:t>
      </w:r>
      <w:r w:rsidRPr="00E01E4C">
        <w:rPr>
          <w:b/>
          <w:lang w:val="en-US"/>
        </w:rPr>
        <w:t>15</w:t>
      </w:r>
      <w:r w:rsidRPr="00E01E4C">
        <w:rPr>
          <w:lang w:val="en-US"/>
        </w:rPr>
        <w:t>: 1448E.</w:t>
      </w:r>
    </w:p>
    <w:p w14:paraId="1836DBFD" w14:textId="77777777" w:rsidR="00B03E22" w:rsidRPr="00E01E4C" w:rsidRDefault="00B03E22" w:rsidP="0080229C">
      <w:pPr>
        <w:pStyle w:val="EndNoteBibliography"/>
        <w:spacing w:after="0"/>
        <w:rPr>
          <w:lang w:val="en-US"/>
        </w:rPr>
      </w:pPr>
    </w:p>
    <w:p w14:paraId="0DCB2391" w14:textId="576AE9C0" w:rsidR="0080229C" w:rsidRPr="00E01E4C" w:rsidRDefault="0080229C" w:rsidP="0080229C">
      <w:pPr>
        <w:pStyle w:val="EndNoteBibliography"/>
        <w:spacing w:after="0"/>
        <w:rPr>
          <w:lang w:val="en-US"/>
        </w:rPr>
      </w:pPr>
      <w:r w:rsidRPr="00E01E4C">
        <w:rPr>
          <w:lang w:val="en-US"/>
        </w:rPr>
        <w:t xml:space="preserve">Autio T, Hielm S, Miettinen M, Sjoberg AM, Aarnisalo K, Bjorkroth J, Mattila-Sandholm T &amp; Korkeala H (1999) Sources of Listeria monocytogenes contamination in a cold-smoked rainbow trout processing plant detected by pulsed-field gel electrophoresis typing. </w:t>
      </w:r>
      <w:r w:rsidRPr="00E01E4C">
        <w:rPr>
          <w:i/>
          <w:lang w:val="en-US"/>
        </w:rPr>
        <w:t>Appl Environ Microbiol</w:t>
      </w:r>
      <w:r w:rsidRPr="00E01E4C">
        <w:rPr>
          <w:lang w:val="en-US"/>
        </w:rPr>
        <w:t xml:space="preserve"> </w:t>
      </w:r>
      <w:r w:rsidRPr="00E01E4C">
        <w:rPr>
          <w:b/>
          <w:lang w:val="en-US"/>
        </w:rPr>
        <w:t>65</w:t>
      </w:r>
      <w:r w:rsidRPr="00E01E4C">
        <w:rPr>
          <w:lang w:val="en-US"/>
        </w:rPr>
        <w:t>: 150-155.</w:t>
      </w:r>
    </w:p>
    <w:p w14:paraId="3B964B2F" w14:textId="77777777" w:rsidR="00B03E22" w:rsidRPr="00E01E4C" w:rsidRDefault="00B03E22" w:rsidP="0080229C">
      <w:pPr>
        <w:pStyle w:val="EndNoteBibliography"/>
        <w:spacing w:after="0"/>
        <w:rPr>
          <w:lang w:val="en-US"/>
        </w:rPr>
      </w:pPr>
    </w:p>
    <w:p w14:paraId="56664B9F" w14:textId="145D3E50" w:rsidR="0080229C" w:rsidRPr="00E01E4C" w:rsidRDefault="0080229C" w:rsidP="0080229C">
      <w:pPr>
        <w:pStyle w:val="EndNoteBibliography"/>
        <w:spacing w:after="0"/>
        <w:rPr>
          <w:lang w:val="en-US"/>
        </w:rPr>
      </w:pPr>
      <w:r w:rsidRPr="00E01E4C">
        <w:rPr>
          <w:lang w:val="en-US"/>
        </w:rPr>
        <w:t xml:space="preserve">Beaufort A, Rudelle S, Gnanou-Besse N, Toquin MT, Kerouanton A, Bergis H, Salvat G &amp; Cornu M (2007) Prevalence and growth of </w:t>
      </w:r>
      <w:r w:rsidRPr="00E01E4C">
        <w:rPr>
          <w:i/>
          <w:lang w:val="en-US"/>
        </w:rPr>
        <w:t>Listeria monocytogenes</w:t>
      </w:r>
      <w:r w:rsidRPr="00E01E4C">
        <w:rPr>
          <w:lang w:val="en-US"/>
        </w:rPr>
        <w:t xml:space="preserve"> in naturally contaminated cold-smoked salmon. </w:t>
      </w:r>
      <w:r w:rsidRPr="00E01E4C">
        <w:rPr>
          <w:i/>
          <w:lang w:val="en-US"/>
        </w:rPr>
        <w:t>Lett Appl Microbiol</w:t>
      </w:r>
      <w:r w:rsidRPr="00E01E4C">
        <w:rPr>
          <w:lang w:val="en-US"/>
        </w:rPr>
        <w:t xml:space="preserve"> </w:t>
      </w:r>
      <w:r w:rsidRPr="00E01E4C">
        <w:rPr>
          <w:b/>
          <w:lang w:val="en-US"/>
        </w:rPr>
        <w:t>44</w:t>
      </w:r>
      <w:r w:rsidRPr="00E01E4C">
        <w:rPr>
          <w:lang w:val="en-US"/>
        </w:rPr>
        <w:t>: 406-411.</w:t>
      </w:r>
    </w:p>
    <w:p w14:paraId="582C39C2" w14:textId="77777777" w:rsidR="00B03E22" w:rsidRPr="00E01E4C" w:rsidRDefault="00B03E22" w:rsidP="0080229C">
      <w:pPr>
        <w:pStyle w:val="EndNoteBibliography"/>
        <w:spacing w:after="0"/>
        <w:rPr>
          <w:lang w:val="en-US"/>
        </w:rPr>
      </w:pPr>
    </w:p>
    <w:p w14:paraId="69F23943" w14:textId="1E54F733" w:rsidR="0080229C" w:rsidRPr="00E01E4C" w:rsidRDefault="0080229C" w:rsidP="0080229C">
      <w:pPr>
        <w:pStyle w:val="EndNoteBibliography"/>
        <w:spacing w:after="0"/>
        <w:rPr>
          <w:lang w:val="en-US"/>
        </w:rPr>
      </w:pPr>
      <w:r w:rsidRPr="00E01E4C">
        <w:rPr>
          <w:lang w:val="en-US"/>
        </w:rPr>
        <w:t xml:space="preserve">Ben Embarek PK (1994) Presence, detection and growth of </w:t>
      </w:r>
      <w:r w:rsidRPr="00E01E4C">
        <w:rPr>
          <w:i/>
          <w:lang w:val="en-US"/>
        </w:rPr>
        <w:t>Listeria monocytogenes</w:t>
      </w:r>
      <w:r w:rsidRPr="00E01E4C">
        <w:rPr>
          <w:lang w:val="en-US"/>
        </w:rPr>
        <w:t xml:space="preserve"> in seafoods: a review. </w:t>
      </w:r>
      <w:r w:rsidRPr="00E01E4C">
        <w:rPr>
          <w:i/>
          <w:lang w:val="en-US"/>
        </w:rPr>
        <w:t>Int J Food Microbiol</w:t>
      </w:r>
      <w:r w:rsidRPr="00E01E4C">
        <w:rPr>
          <w:lang w:val="en-US"/>
        </w:rPr>
        <w:t xml:space="preserve"> </w:t>
      </w:r>
      <w:r w:rsidRPr="00E01E4C">
        <w:rPr>
          <w:b/>
          <w:lang w:val="en-US"/>
        </w:rPr>
        <w:t>23</w:t>
      </w:r>
      <w:r w:rsidRPr="00E01E4C">
        <w:rPr>
          <w:lang w:val="en-US"/>
        </w:rPr>
        <w:t>: 17-34.</w:t>
      </w:r>
    </w:p>
    <w:p w14:paraId="3C9C1267" w14:textId="77777777" w:rsidR="00B03E22" w:rsidRPr="00E01E4C" w:rsidRDefault="00B03E22" w:rsidP="0080229C">
      <w:pPr>
        <w:pStyle w:val="EndNoteBibliography"/>
        <w:spacing w:after="0"/>
        <w:rPr>
          <w:lang w:val="en-US"/>
        </w:rPr>
      </w:pPr>
    </w:p>
    <w:p w14:paraId="4CB0EE4D" w14:textId="7B35360F" w:rsidR="0080229C" w:rsidRPr="00E01E4C" w:rsidRDefault="0080229C" w:rsidP="0080229C">
      <w:pPr>
        <w:pStyle w:val="EndNoteBibliography"/>
        <w:spacing w:after="0"/>
        <w:rPr>
          <w:lang w:val="en-US"/>
        </w:rPr>
      </w:pPr>
      <w:r w:rsidRPr="00E01E4C">
        <w:rPr>
          <w:lang w:val="en-US"/>
        </w:rPr>
        <w:lastRenderedPageBreak/>
        <w:t xml:space="preserve">Bertsch D, Rau J, Eugster MR, Haug MC, Lawson PA, Lacroix C &amp; Meile L (2013) </w:t>
      </w:r>
      <w:r w:rsidRPr="00E01E4C">
        <w:rPr>
          <w:i/>
          <w:lang w:val="en-US"/>
        </w:rPr>
        <w:t>Listeria fleischmannii</w:t>
      </w:r>
      <w:r w:rsidRPr="00E01E4C">
        <w:rPr>
          <w:lang w:val="en-US"/>
        </w:rPr>
        <w:t xml:space="preserve"> sp. nov., isolated from cheese. </w:t>
      </w:r>
      <w:r w:rsidRPr="00E01E4C">
        <w:rPr>
          <w:i/>
          <w:lang w:val="en-US"/>
        </w:rPr>
        <w:t>Int J Syst Evol Microbiol</w:t>
      </w:r>
      <w:r w:rsidRPr="00E01E4C">
        <w:rPr>
          <w:lang w:val="en-US"/>
        </w:rPr>
        <w:t xml:space="preserve"> </w:t>
      </w:r>
      <w:r w:rsidRPr="00E01E4C">
        <w:rPr>
          <w:b/>
          <w:lang w:val="en-US"/>
        </w:rPr>
        <w:t>63</w:t>
      </w:r>
      <w:r w:rsidRPr="00E01E4C">
        <w:rPr>
          <w:lang w:val="en-US"/>
        </w:rPr>
        <w:t>: 526-532.</w:t>
      </w:r>
    </w:p>
    <w:p w14:paraId="4367C706" w14:textId="77777777" w:rsidR="00B03E22" w:rsidRPr="00E01E4C" w:rsidRDefault="00B03E22" w:rsidP="0080229C">
      <w:pPr>
        <w:pStyle w:val="EndNoteBibliography"/>
        <w:spacing w:after="0"/>
        <w:rPr>
          <w:lang w:val="en-US"/>
        </w:rPr>
      </w:pPr>
    </w:p>
    <w:p w14:paraId="7BBF4232" w14:textId="64C1FB42" w:rsidR="0080229C" w:rsidRDefault="0080229C" w:rsidP="0080229C">
      <w:pPr>
        <w:pStyle w:val="EndNoteBibliography"/>
        <w:spacing w:after="0"/>
      </w:pPr>
      <w:r w:rsidRPr="00E01E4C">
        <w:rPr>
          <w:lang w:val="en-US"/>
        </w:rPr>
        <w:t xml:space="preserve">Bourdin G (2009) Listeria monocytogenes in seafood products. </w:t>
      </w:r>
      <w:r w:rsidRPr="0080229C">
        <w:rPr>
          <w:i/>
        </w:rPr>
        <w:t>Bulletin de l'Academie Veterinaire de France</w:t>
      </w:r>
      <w:r w:rsidRPr="0080229C">
        <w:t xml:space="preserve"> </w:t>
      </w:r>
      <w:r w:rsidRPr="0080229C">
        <w:rPr>
          <w:b/>
        </w:rPr>
        <w:t>162(3), 235-240</w:t>
      </w:r>
      <w:r w:rsidRPr="0080229C">
        <w:t>.</w:t>
      </w:r>
    </w:p>
    <w:p w14:paraId="00D0FD3B" w14:textId="77777777" w:rsidR="00B03E22" w:rsidRPr="0080229C" w:rsidRDefault="00B03E22" w:rsidP="0080229C">
      <w:pPr>
        <w:pStyle w:val="EndNoteBibliography"/>
        <w:spacing w:after="0"/>
      </w:pPr>
    </w:p>
    <w:p w14:paraId="59E60336" w14:textId="39F88C95" w:rsidR="0080229C" w:rsidRPr="00E01E4C" w:rsidRDefault="0080229C" w:rsidP="0080229C">
      <w:pPr>
        <w:pStyle w:val="EndNoteBibliography"/>
        <w:spacing w:after="0"/>
        <w:rPr>
          <w:lang w:val="en-US"/>
        </w:rPr>
      </w:pPr>
      <w:r w:rsidRPr="00E01E4C">
        <w:rPr>
          <w:lang w:val="en-US"/>
        </w:rPr>
        <w:t xml:space="preserve">Brett MS, Short P &amp; McLauchlin J (1998) A small outbreak of listeriosis associated with smoked mussels. </w:t>
      </w:r>
      <w:r w:rsidRPr="00E01E4C">
        <w:rPr>
          <w:i/>
          <w:lang w:val="en-US"/>
        </w:rPr>
        <w:t>Int J Food Microbiol</w:t>
      </w:r>
      <w:r w:rsidRPr="00E01E4C">
        <w:rPr>
          <w:lang w:val="en-US"/>
        </w:rPr>
        <w:t xml:space="preserve"> </w:t>
      </w:r>
      <w:r w:rsidRPr="00E01E4C">
        <w:rPr>
          <w:b/>
          <w:lang w:val="en-US"/>
        </w:rPr>
        <w:t>43</w:t>
      </w:r>
      <w:r w:rsidRPr="00E01E4C">
        <w:rPr>
          <w:lang w:val="en-US"/>
        </w:rPr>
        <w:t>: 223-229.</w:t>
      </w:r>
    </w:p>
    <w:p w14:paraId="0F35F07F" w14:textId="77777777" w:rsidR="00B03E22" w:rsidRPr="00E01E4C" w:rsidRDefault="00B03E22" w:rsidP="0080229C">
      <w:pPr>
        <w:pStyle w:val="EndNoteBibliography"/>
        <w:spacing w:after="0"/>
        <w:rPr>
          <w:lang w:val="en-US"/>
        </w:rPr>
      </w:pPr>
    </w:p>
    <w:p w14:paraId="30F31ACE" w14:textId="36FB8E0B" w:rsidR="0080229C" w:rsidRPr="00E01E4C" w:rsidRDefault="0080229C" w:rsidP="0080229C">
      <w:pPr>
        <w:pStyle w:val="EndNoteBibliography"/>
        <w:spacing w:after="0"/>
        <w:rPr>
          <w:lang w:val="en-US"/>
        </w:rPr>
      </w:pPr>
      <w:r w:rsidRPr="00E01E4C">
        <w:rPr>
          <w:lang w:val="en-US"/>
        </w:rPr>
        <w:t xml:space="preserve">Cardenas-Alvarez MX, Ramsett MKT, Malekmohammadi S &amp; Bergholz TM (2019) Evidence of hypervirulence in Listeria monocytogenes clonal complex 14. </w:t>
      </w:r>
      <w:r w:rsidRPr="00E01E4C">
        <w:rPr>
          <w:i/>
          <w:lang w:val="en-US"/>
        </w:rPr>
        <w:t>Journal of medical microbiology</w:t>
      </w:r>
      <w:r w:rsidRPr="00E01E4C">
        <w:rPr>
          <w:lang w:val="en-US"/>
        </w:rPr>
        <w:t xml:space="preserve"> </w:t>
      </w:r>
      <w:r w:rsidRPr="00E01E4C">
        <w:rPr>
          <w:b/>
          <w:lang w:val="en-US"/>
        </w:rPr>
        <w:t>68</w:t>
      </w:r>
      <w:r w:rsidRPr="00E01E4C">
        <w:rPr>
          <w:lang w:val="en-US"/>
        </w:rPr>
        <w:t>: 1677-1685.</w:t>
      </w:r>
    </w:p>
    <w:p w14:paraId="6B850A25" w14:textId="77777777" w:rsidR="00B03E22" w:rsidRPr="00E01E4C" w:rsidRDefault="00B03E22" w:rsidP="0080229C">
      <w:pPr>
        <w:pStyle w:val="EndNoteBibliography"/>
        <w:spacing w:after="0"/>
        <w:rPr>
          <w:lang w:val="en-US"/>
        </w:rPr>
      </w:pPr>
    </w:p>
    <w:p w14:paraId="32A83D53" w14:textId="019B7C40" w:rsidR="0080229C" w:rsidRPr="00E01E4C" w:rsidRDefault="0080229C" w:rsidP="0080229C">
      <w:pPr>
        <w:pStyle w:val="EndNoteBibliography"/>
        <w:spacing w:after="0"/>
        <w:rPr>
          <w:lang w:val="en-US"/>
        </w:rPr>
      </w:pPr>
      <w:r w:rsidRPr="00B03E22">
        <w:rPr>
          <w:lang w:val="en-US"/>
        </w:rPr>
        <w:t xml:space="preserve">CDC (2014) CDC National Health Report: Leading Causes of Morbidity and Mortality and Associated Behavioral Risk and Protective Factors— United States, 2005–2013. </w:t>
      </w:r>
      <w:r w:rsidRPr="00E01E4C">
        <w:rPr>
          <w:i/>
          <w:lang w:val="en-US"/>
        </w:rPr>
        <w:t>Morb Mortal Weekly Rep</w:t>
      </w:r>
      <w:r w:rsidRPr="00E01E4C">
        <w:rPr>
          <w:lang w:val="en-US"/>
        </w:rPr>
        <w:t xml:space="preserve"> </w:t>
      </w:r>
      <w:r w:rsidRPr="00E01E4C">
        <w:rPr>
          <w:b/>
          <w:lang w:val="en-US"/>
        </w:rPr>
        <w:t>63</w:t>
      </w:r>
      <w:r w:rsidRPr="00E01E4C">
        <w:rPr>
          <w:lang w:val="en-US"/>
        </w:rPr>
        <w:t>.</w:t>
      </w:r>
    </w:p>
    <w:p w14:paraId="44FA59A6" w14:textId="77777777" w:rsidR="00B03E22" w:rsidRPr="00E01E4C" w:rsidRDefault="00B03E22" w:rsidP="0080229C">
      <w:pPr>
        <w:pStyle w:val="EndNoteBibliography"/>
        <w:spacing w:after="0"/>
        <w:rPr>
          <w:lang w:val="en-US"/>
        </w:rPr>
      </w:pPr>
    </w:p>
    <w:p w14:paraId="61A4CAE5" w14:textId="57E64E88" w:rsidR="0080229C" w:rsidRPr="00E01E4C" w:rsidRDefault="0080229C" w:rsidP="0080229C">
      <w:pPr>
        <w:pStyle w:val="EndNoteBibliography"/>
        <w:spacing w:after="0"/>
        <w:rPr>
          <w:lang w:val="en-US"/>
        </w:rPr>
      </w:pPr>
      <w:r w:rsidRPr="00E01E4C">
        <w:rPr>
          <w:lang w:val="en-US"/>
        </w:rPr>
        <w:t xml:space="preserve">Chenal-Francisque V, Lopez J, Cantinelli T, Caro V, Tran C, Leclercq A, Lecuit M &amp; Brisse S (2011) World wide distribution of major clones of </w:t>
      </w:r>
      <w:r w:rsidRPr="00E01E4C">
        <w:rPr>
          <w:i/>
          <w:lang w:val="en-US"/>
        </w:rPr>
        <w:t>Listeria monocytogenes</w:t>
      </w:r>
      <w:r w:rsidRPr="00E01E4C">
        <w:rPr>
          <w:lang w:val="en-US"/>
        </w:rPr>
        <w:t xml:space="preserve">. </w:t>
      </w:r>
      <w:r w:rsidRPr="00E01E4C">
        <w:rPr>
          <w:i/>
          <w:lang w:val="en-US"/>
        </w:rPr>
        <w:t>Emerging Infectious Diseases</w:t>
      </w:r>
      <w:r w:rsidRPr="00E01E4C">
        <w:rPr>
          <w:lang w:val="en-US"/>
        </w:rPr>
        <w:t xml:space="preserve"> </w:t>
      </w:r>
      <w:r w:rsidRPr="00E01E4C">
        <w:rPr>
          <w:b/>
          <w:lang w:val="en-US"/>
        </w:rPr>
        <w:t>17</w:t>
      </w:r>
      <w:r w:rsidRPr="00E01E4C">
        <w:rPr>
          <w:lang w:val="en-US"/>
        </w:rPr>
        <w:t>: 1110-1112.</w:t>
      </w:r>
    </w:p>
    <w:p w14:paraId="395FA3E7" w14:textId="77777777" w:rsidR="00B03E22" w:rsidRPr="00E01E4C" w:rsidRDefault="00B03E22" w:rsidP="0080229C">
      <w:pPr>
        <w:pStyle w:val="EndNoteBibliography"/>
        <w:spacing w:after="0"/>
        <w:rPr>
          <w:lang w:val="en-US"/>
        </w:rPr>
      </w:pPr>
    </w:p>
    <w:p w14:paraId="58FBB388" w14:textId="1405E9AD" w:rsidR="0080229C" w:rsidRPr="00E01E4C" w:rsidRDefault="0080229C" w:rsidP="0080229C">
      <w:pPr>
        <w:pStyle w:val="EndNoteBibliography"/>
        <w:spacing w:after="0"/>
        <w:rPr>
          <w:lang w:val="en-US"/>
        </w:rPr>
      </w:pPr>
      <w:r w:rsidRPr="00E01E4C">
        <w:rPr>
          <w:lang w:val="en-US"/>
        </w:rPr>
        <w:t>Dauphin G, Ragimbeau C &amp; Malle P (2001) Use of PFGE typing for tracing contamination with</w:t>
      </w:r>
      <w:r w:rsidRPr="00E01E4C">
        <w:rPr>
          <w:i/>
          <w:lang w:val="en-US"/>
        </w:rPr>
        <w:t xml:space="preserve"> Listeria monocytogenes</w:t>
      </w:r>
      <w:r w:rsidRPr="00E01E4C">
        <w:rPr>
          <w:lang w:val="en-US"/>
        </w:rPr>
        <w:t xml:space="preserve"> in three cold-smoked salmon processing plants. </w:t>
      </w:r>
      <w:r w:rsidRPr="00E01E4C">
        <w:rPr>
          <w:i/>
          <w:lang w:val="en-US"/>
        </w:rPr>
        <w:t>Int J Food Microbiol</w:t>
      </w:r>
      <w:r w:rsidRPr="00E01E4C">
        <w:rPr>
          <w:lang w:val="en-US"/>
        </w:rPr>
        <w:t xml:space="preserve"> </w:t>
      </w:r>
      <w:r w:rsidRPr="00E01E4C">
        <w:rPr>
          <w:b/>
          <w:lang w:val="en-US"/>
        </w:rPr>
        <w:t>64</w:t>
      </w:r>
      <w:r w:rsidRPr="00E01E4C">
        <w:rPr>
          <w:lang w:val="en-US"/>
        </w:rPr>
        <w:t>: 51-61.</w:t>
      </w:r>
    </w:p>
    <w:p w14:paraId="41E2549C" w14:textId="77777777" w:rsidR="00B03E22" w:rsidRPr="00E01E4C" w:rsidRDefault="00B03E22" w:rsidP="0080229C">
      <w:pPr>
        <w:pStyle w:val="EndNoteBibliography"/>
        <w:spacing w:after="0"/>
        <w:rPr>
          <w:lang w:val="en-US"/>
        </w:rPr>
      </w:pPr>
    </w:p>
    <w:p w14:paraId="433B6718" w14:textId="64AE5C8F" w:rsidR="0080229C" w:rsidRPr="00E01E4C" w:rsidRDefault="0080229C" w:rsidP="0080229C">
      <w:pPr>
        <w:pStyle w:val="EndNoteBibliography"/>
        <w:spacing w:after="0"/>
        <w:rPr>
          <w:lang w:val="en-US"/>
        </w:rPr>
      </w:pPr>
      <w:r w:rsidRPr="00E01E4C">
        <w:rPr>
          <w:lang w:val="en-US"/>
        </w:rPr>
        <w:t xml:space="preserve">de Noordhout CM, Devleesschauwer B, Angulo FJ, Verbeke G, Haagsma J, Kirk M, Havelaar A &amp; Speybroeck N (2014) The global burden of listeriosis: A systematic review and meta-analysis. </w:t>
      </w:r>
      <w:r w:rsidRPr="00E01E4C">
        <w:rPr>
          <w:i/>
          <w:lang w:val="en-US"/>
        </w:rPr>
        <w:t>The Lancet Infectious Diseases</w:t>
      </w:r>
      <w:r w:rsidRPr="00E01E4C">
        <w:rPr>
          <w:lang w:val="en-US"/>
        </w:rPr>
        <w:t xml:space="preserve"> </w:t>
      </w:r>
      <w:r w:rsidRPr="00E01E4C">
        <w:rPr>
          <w:b/>
          <w:lang w:val="en-US"/>
        </w:rPr>
        <w:t>14</w:t>
      </w:r>
      <w:r w:rsidRPr="00E01E4C">
        <w:rPr>
          <w:lang w:val="en-US"/>
        </w:rPr>
        <w:t>: 1073-1082.</w:t>
      </w:r>
    </w:p>
    <w:p w14:paraId="1021C7DF" w14:textId="77777777" w:rsidR="00B03E22" w:rsidRPr="00E01E4C" w:rsidRDefault="00B03E22" w:rsidP="0080229C">
      <w:pPr>
        <w:pStyle w:val="EndNoteBibliography"/>
        <w:spacing w:after="0"/>
        <w:rPr>
          <w:lang w:val="en-US"/>
        </w:rPr>
      </w:pPr>
    </w:p>
    <w:p w14:paraId="0435D2DB" w14:textId="160BAAE0" w:rsidR="0080229C" w:rsidRPr="00E01E4C" w:rsidRDefault="0080229C" w:rsidP="0080229C">
      <w:pPr>
        <w:pStyle w:val="EndNoteBibliography"/>
        <w:spacing w:after="0"/>
        <w:rPr>
          <w:lang w:val="en-US"/>
        </w:rPr>
      </w:pPr>
      <w:r w:rsidRPr="00E01E4C">
        <w:rPr>
          <w:lang w:val="en-US"/>
        </w:rPr>
        <w:t xml:space="preserve">den Bakker HC, Warchocki S, Wright EM, Allred AF, Ahlstrom C, Manuel CS, Stasiewicz MJ, Burrell A, Roof S &amp; Strawn L (2014) Five new species of Listeria (L. floridensis sp. nov, L. aquatica sp. nov., L. cornellensis sp. nov. L. riparia sp. nov., and L. grandensis sp. nov.) from agricultural and natural environments in the United States. </w:t>
      </w:r>
      <w:r w:rsidRPr="00E01E4C">
        <w:rPr>
          <w:i/>
          <w:lang w:val="en-US"/>
        </w:rPr>
        <w:t>Int J Syst Evol Microbiol</w:t>
      </w:r>
      <w:r w:rsidRPr="00E01E4C">
        <w:rPr>
          <w:lang w:val="en-US"/>
        </w:rPr>
        <w:t xml:space="preserve"> </w:t>
      </w:r>
      <w:r w:rsidRPr="00E01E4C">
        <w:rPr>
          <w:b/>
          <w:lang w:val="en-US"/>
        </w:rPr>
        <w:t>64</w:t>
      </w:r>
      <w:r w:rsidRPr="00E01E4C">
        <w:rPr>
          <w:lang w:val="en-US"/>
        </w:rPr>
        <w:t>: 1882-1889.</w:t>
      </w:r>
    </w:p>
    <w:p w14:paraId="58A7037A" w14:textId="77777777" w:rsidR="00B03E22" w:rsidRPr="00E01E4C" w:rsidRDefault="00B03E22" w:rsidP="0080229C">
      <w:pPr>
        <w:pStyle w:val="EndNoteBibliography"/>
        <w:spacing w:after="0"/>
        <w:rPr>
          <w:lang w:val="en-US"/>
        </w:rPr>
      </w:pPr>
    </w:p>
    <w:p w14:paraId="40A81F67" w14:textId="475CE520" w:rsidR="0080229C" w:rsidRPr="00E01E4C" w:rsidRDefault="0080229C" w:rsidP="0080229C">
      <w:pPr>
        <w:pStyle w:val="EndNoteBibliography"/>
        <w:spacing w:after="0"/>
        <w:rPr>
          <w:lang w:val="en-US"/>
        </w:rPr>
      </w:pPr>
      <w:r w:rsidRPr="00E01E4C">
        <w:rPr>
          <w:lang w:val="en-US"/>
        </w:rPr>
        <w:t xml:space="preserve">Doumith M, Buchrieser C, Glaser P, Jacquet C &amp; Martin P (2004) Differentiation of the major </w:t>
      </w:r>
      <w:r w:rsidRPr="00E01E4C">
        <w:rPr>
          <w:i/>
          <w:lang w:val="en-US"/>
        </w:rPr>
        <w:t>Listeria monocytogenes</w:t>
      </w:r>
      <w:r w:rsidRPr="00E01E4C">
        <w:rPr>
          <w:lang w:val="en-US"/>
        </w:rPr>
        <w:t xml:space="preserve"> serovars by multiplex PCR. </w:t>
      </w:r>
      <w:r w:rsidRPr="00E01E4C">
        <w:rPr>
          <w:i/>
          <w:lang w:val="en-US"/>
        </w:rPr>
        <w:t>J Clin Microbiol</w:t>
      </w:r>
      <w:r w:rsidRPr="00E01E4C">
        <w:rPr>
          <w:lang w:val="en-US"/>
        </w:rPr>
        <w:t xml:space="preserve"> </w:t>
      </w:r>
      <w:r w:rsidRPr="00E01E4C">
        <w:rPr>
          <w:b/>
          <w:lang w:val="en-US"/>
        </w:rPr>
        <w:t>42</w:t>
      </w:r>
      <w:r w:rsidRPr="00E01E4C">
        <w:rPr>
          <w:lang w:val="en-US"/>
        </w:rPr>
        <w:t>: 3819-3822.</w:t>
      </w:r>
    </w:p>
    <w:p w14:paraId="51CED7AA" w14:textId="77777777" w:rsidR="00B03E22" w:rsidRPr="00E01E4C" w:rsidRDefault="00B03E22" w:rsidP="0080229C">
      <w:pPr>
        <w:pStyle w:val="EndNoteBibliography"/>
        <w:spacing w:after="0"/>
        <w:rPr>
          <w:lang w:val="en-US"/>
        </w:rPr>
      </w:pPr>
    </w:p>
    <w:p w14:paraId="7E5E20E1" w14:textId="0424F461" w:rsidR="0080229C" w:rsidRPr="00E01E4C" w:rsidRDefault="0080229C" w:rsidP="0080229C">
      <w:pPr>
        <w:pStyle w:val="EndNoteBibliography"/>
        <w:spacing w:after="0"/>
        <w:rPr>
          <w:lang w:val="en-US"/>
        </w:rPr>
      </w:pPr>
      <w:r w:rsidRPr="00E01E4C">
        <w:rPr>
          <w:lang w:val="en-US"/>
        </w:rPr>
        <w:t xml:space="preserve">Ebner R, Stephan R, Althaus D, Brisse S, Maury M &amp; Tasara T (2015) Phenotypic and genotypic characteristics of Listeria monocytogenes strains isolated during 2011–2014 from different food matrices in Switzerland. </w:t>
      </w:r>
      <w:r w:rsidRPr="00E01E4C">
        <w:rPr>
          <w:i/>
          <w:lang w:val="en-US"/>
        </w:rPr>
        <w:t>Food Control</w:t>
      </w:r>
      <w:r w:rsidRPr="00E01E4C">
        <w:rPr>
          <w:lang w:val="en-US"/>
        </w:rPr>
        <w:t xml:space="preserve"> </w:t>
      </w:r>
      <w:r w:rsidRPr="00E01E4C">
        <w:rPr>
          <w:b/>
          <w:lang w:val="en-US"/>
        </w:rPr>
        <w:t>57</w:t>
      </w:r>
      <w:r w:rsidRPr="00E01E4C">
        <w:rPr>
          <w:lang w:val="en-US"/>
        </w:rPr>
        <w:t>: 321-326.</w:t>
      </w:r>
    </w:p>
    <w:p w14:paraId="18BFDFD1" w14:textId="77777777" w:rsidR="00B03E22" w:rsidRPr="00E01E4C" w:rsidRDefault="00B03E22" w:rsidP="0080229C">
      <w:pPr>
        <w:pStyle w:val="EndNoteBibliography"/>
        <w:spacing w:after="0"/>
        <w:rPr>
          <w:lang w:val="en-US"/>
        </w:rPr>
      </w:pPr>
    </w:p>
    <w:p w14:paraId="25D20C0E" w14:textId="6215200A" w:rsidR="0080229C" w:rsidRPr="00E01E4C" w:rsidRDefault="0080229C" w:rsidP="0080229C">
      <w:pPr>
        <w:pStyle w:val="EndNoteBibliography"/>
        <w:spacing w:after="0"/>
        <w:rPr>
          <w:lang w:val="en-US"/>
        </w:rPr>
      </w:pPr>
      <w:r w:rsidRPr="00B03E22">
        <w:rPr>
          <w:lang w:val="en-US"/>
        </w:rPr>
        <w:t xml:space="preserve">EFSA (2007) Request for updating the former SCVPH opinion on listeria monocytogenes risk related to ready-to-eat foods and scientific advice on different levels of Listeria monocytogenes in ready-to-eat foods and the related risk for huamn illness. </w:t>
      </w:r>
      <w:r w:rsidRPr="00E01E4C">
        <w:rPr>
          <w:i/>
          <w:lang w:val="en-US"/>
        </w:rPr>
        <w:t>The EFSA Journal</w:t>
      </w:r>
      <w:r w:rsidRPr="00E01E4C">
        <w:rPr>
          <w:lang w:val="en-US"/>
        </w:rPr>
        <w:t xml:space="preserve"> </w:t>
      </w:r>
      <w:r w:rsidRPr="00E01E4C">
        <w:rPr>
          <w:b/>
          <w:lang w:val="en-US"/>
        </w:rPr>
        <w:t>599</w:t>
      </w:r>
      <w:r w:rsidRPr="00E01E4C">
        <w:rPr>
          <w:lang w:val="en-US"/>
        </w:rPr>
        <w:t>: 1-42.</w:t>
      </w:r>
    </w:p>
    <w:p w14:paraId="5F7AFA85" w14:textId="77777777" w:rsidR="00B03E22" w:rsidRPr="00E01E4C" w:rsidRDefault="00B03E22" w:rsidP="0080229C">
      <w:pPr>
        <w:pStyle w:val="EndNoteBibliography"/>
        <w:spacing w:after="0"/>
        <w:rPr>
          <w:lang w:val="en-US"/>
        </w:rPr>
      </w:pPr>
    </w:p>
    <w:p w14:paraId="5CD0D41E" w14:textId="0AC6EE7D" w:rsidR="0080229C" w:rsidRPr="00E01E4C" w:rsidRDefault="0080229C" w:rsidP="0080229C">
      <w:pPr>
        <w:pStyle w:val="EndNoteBibliography"/>
        <w:spacing w:after="0"/>
        <w:rPr>
          <w:lang w:val="en-US"/>
        </w:rPr>
      </w:pPr>
      <w:r w:rsidRPr="00E01E4C">
        <w:rPr>
          <w:lang w:val="en-US"/>
        </w:rPr>
        <w:t xml:space="preserve">EFSA (2014) The European Union Summary Report on Trends and Sources of Zoonoses, Zoonotic Agents and Food-borne Outbreaks in 2012. </w:t>
      </w:r>
      <w:r w:rsidRPr="00E01E4C">
        <w:rPr>
          <w:i/>
          <w:lang w:val="en-US"/>
        </w:rPr>
        <w:t xml:space="preserve">EFSA Journal </w:t>
      </w:r>
      <w:r w:rsidRPr="00E01E4C">
        <w:rPr>
          <w:b/>
          <w:lang w:val="en-US"/>
        </w:rPr>
        <w:t>12</w:t>
      </w:r>
      <w:r w:rsidRPr="00E01E4C">
        <w:rPr>
          <w:lang w:val="en-US"/>
        </w:rPr>
        <w:t>: 1-312.</w:t>
      </w:r>
    </w:p>
    <w:p w14:paraId="0CB7EEA1" w14:textId="77777777" w:rsidR="00B03E22" w:rsidRPr="00E01E4C" w:rsidRDefault="00B03E22" w:rsidP="0080229C">
      <w:pPr>
        <w:pStyle w:val="EndNoteBibliography"/>
        <w:spacing w:after="0"/>
        <w:rPr>
          <w:lang w:val="en-US"/>
        </w:rPr>
      </w:pPr>
    </w:p>
    <w:p w14:paraId="1FA49E10" w14:textId="5F3CD883" w:rsidR="0080229C" w:rsidRPr="00E01E4C" w:rsidRDefault="0080229C" w:rsidP="0080229C">
      <w:pPr>
        <w:pStyle w:val="EndNoteBibliography"/>
        <w:spacing w:after="0"/>
        <w:rPr>
          <w:lang w:val="en-US"/>
        </w:rPr>
      </w:pPr>
      <w:r w:rsidRPr="00E01E4C">
        <w:rPr>
          <w:lang w:val="en-US"/>
        </w:rPr>
        <w:t xml:space="preserve">EFSA (2019) Multi‐country outbreak of Listeria monocytogenes clonal complex 8 infections linked to consumption of cold‐smoked fish products. </w:t>
      </w:r>
      <w:r w:rsidRPr="00E01E4C">
        <w:rPr>
          <w:i/>
          <w:lang w:val="en-US"/>
        </w:rPr>
        <w:t>EFSA Supporting Publications</w:t>
      </w:r>
      <w:r w:rsidRPr="00E01E4C">
        <w:rPr>
          <w:lang w:val="en-US"/>
        </w:rPr>
        <w:t xml:space="preserve"> </w:t>
      </w:r>
      <w:r w:rsidRPr="00E01E4C">
        <w:rPr>
          <w:b/>
          <w:lang w:val="en-US"/>
        </w:rPr>
        <w:t>16</w:t>
      </w:r>
      <w:r w:rsidRPr="00E01E4C">
        <w:rPr>
          <w:lang w:val="en-US"/>
        </w:rPr>
        <w:t>: 1665E.</w:t>
      </w:r>
    </w:p>
    <w:p w14:paraId="3C4AFCA5" w14:textId="77777777" w:rsidR="00B03E22" w:rsidRPr="00E01E4C" w:rsidRDefault="00B03E22" w:rsidP="0080229C">
      <w:pPr>
        <w:pStyle w:val="EndNoteBibliography"/>
        <w:spacing w:after="0"/>
        <w:rPr>
          <w:lang w:val="en-US"/>
        </w:rPr>
      </w:pPr>
    </w:p>
    <w:p w14:paraId="4EC009D7" w14:textId="6A745429" w:rsidR="0080229C" w:rsidRDefault="0080229C" w:rsidP="0080229C">
      <w:pPr>
        <w:pStyle w:val="EndNoteBibliography"/>
        <w:spacing w:after="0"/>
      </w:pPr>
      <w:r w:rsidRPr="00B03E22">
        <w:rPr>
          <w:lang w:val="en-US"/>
        </w:rPr>
        <w:t xml:space="preserve">Ericsson H, Eklow A, Danielsson-Tham ML, Loncarevic S, Mentzing LO, Persson I, Unnerstad H &amp; Tham W (1997) An outbreak of listeriosis suspected to have been caused by rainbow trout. </w:t>
      </w:r>
      <w:r w:rsidRPr="0080229C">
        <w:rPr>
          <w:i/>
        </w:rPr>
        <w:t>J Clin Microbiol</w:t>
      </w:r>
      <w:r w:rsidRPr="0080229C">
        <w:t xml:space="preserve"> </w:t>
      </w:r>
      <w:r w:rsidRPr="0080229C">
        <w:rPr>
          <w:b/>
        </w:rPr>
        <w:t>35</w:t>
      </w:r>
      <w:r w:rsidRPr="0080229C">
        <w:t>: 2904-2907.</w:t>
      </w:r>
    </w:p>
    <w:p w14:paraId="0BCD9AF0" w14:textId="77777777" w:rsidR="00B03E22" w:rsidRPr="0080229C" w:rsidRDefault="00B03E22" w:rsidP="0080229C">
      <w:pPr>
        <w:pStyle w:val="EndNoteBibliography"/>
        <w:spacing w:after="0"/>
      </w:pPr>
    </w:p>
    <w:p w14:paraId="7C406211" w14:textId="4C285FA1" w:rsidR="0080229C" w:rsidRPr="0080229C" w:rsidRDefault="0080229C" w:rsidP="0080229C">
      <w:pPr>
        <w:pStyle w:val="EndNoteBibliography"/>
        <w:spacing w:after="0"/>
      </w:pPr>
      <w:r w:rsidRPr="0080229C">
        <w:t xml:space="preserve">FAO (2014) La situation mondiale des pêches et de l'aquaculture 2014. </w:t>
      </w:r>
      <w:hyperlink r:id="rId34" w:history="1">
        <w:r w:rsidRPr="0080229C">
          <w:rPr>
            <w:rStyle w:val="Lienhypertexte"/>
            <w:rFonts w:cs="Calibri"/>
            <w:i/>
          </w:rPr>
          <w:t>http://wwwfaoorg/resources/infographics/infographics-details/fr/c/232704/</w:t>
        </w:r>
      </w:hyperlink>
      <w:r w:rsidRPr="0080229C">
        <w:t>.</w:t>
      </w:r>
    </w:p>
    <w:p w14:paraId="7FA14ECF" w14:textId="216FEA16" w:rsidR="0080229C" w:rsidRDefault="0080229C" w:rsidP="0080229C">
      <w:pPr>
        <w:pStyle w:val="EndNoteBibliography"/>
        <w:spacing w:after="0"/>
      </w:pPr>
      <w:r w:rsidRPr="0080229C">
        <w:lastRenderedPageBreak/>
        <w:t xml:space="preserve">Felix B, Michelon D, Prenom C, Robieu E, Roussel S &amp; Feurer C (2016) Une base de données de typage partagée pour la surveillance de Listeria monocytogenes </w:t>
      </w:r>
      <w:r w:rsidRPr="0080229C">
        <w:rPr>
          <w:i/>
        </w:rPr>
        <w:t>Les Cahiers de l’IFIP</w:t>
      </w:r>
      <w:r w:rsidRPr="0080229C">
        <w:t xml:space="preserve"> </w:t>
      </w:r>
      <w:r w:rsidRPr="0080229C">
        <w:rPr>
          <w:b/>
        </w:rPr>
        <w:t>2</w:t>
      </w:r>
      <w:r w:rsidRPr="0080229C">
        <w:t>: 1-6.</w:t>
      </w:r>
    </w:p>
    <w:p w14:paraId="5D741EB0" w14:textId="77777777" w:rsidR="00B03E22" w:rsidRPr="0080229C" w:rsidRDefault="00B03E22" w:rsidP="0080229C">
      <w:pPr>
        <w:pStyle w:val="EndNoteBibliography"/>
        <w:spacing w:after="0"/>
      </w:pPr>
    </w:p>
    <w:p w14:paraId="17520D1D" w14:textId="047E25B6" w:rsidR="0080229C" w:rsidRPr="00E01E4C" w:rsidRDefault="0080229C" w:rsidP="0080229C">
      <w:pPr>
        <w:pStyle w:val="EndNoteBibliography"/>
        <w:spacing w:after="0"/>
        <w:rPr>
          <w:lang w:val="en-US"/>
        </w:rPr>
      </w:pPr>
      <w:r w:rsidRPr="00E01E4C">
        <w:rPr>
          <w:lang w:val="en-US"/>
        </w:rPr>
        <w:t xml:space="preserve">Felix B, Michelon D, Lombard B, Albert D, Barre L, Feurer C &amp; Roussel S (2017) A shared molecular database for the surveillance of Listeria monocytogenes in the food chain in France. </w:t>
      </w:r>
      <w:r w:rsidRPr="00E01E4C">
        <w:rPr>
          <w:i/>
          <w:lang w:val="en-US"/>
        </w:rPr>
        <w:t>Bulletin Epidémiologique</w:t>
      </w:r>
      <w:r w:rsidRPr="00E01E4C">
        <w:rPr>
          <w:lang w:val="en-US"/>
        </w:rPr>
        <w:t xml:space="preserve"> 82 - 87.</w:t>
      </w:r>
    </w:p>
    <w:p w14:paraId="767978FA" w14:textId="77777777" w:rsidR="00B03E22" w:rsidRPr="00E01E4C" w:rsidRDefault="00B03E22" w:rsidP="0080229C">
      <w:pPr>
        <w:pStyle w:val="EndNoteBibliography"/>
        <w:spacing w:after="0"/>
        <w:rPr>
          <w:lang w:val="en-US"/>
        </w:rPr>
      </w:pPr>
    </w:p>
    <w:p w14:paraId="5B7B117B" w14:textId="56FE42DC" w:rsidR="0080229C" w:rsidRPr="00E01E4C" w:rsidRDefault="0080229C" w:rsidP="0080229C">
      <w:pPr>
        <w:pStyle w:val="EndNoteBibliography"/>
        <w:spacing w:after="0"/>
        <w:rPr>
          <w:lang w:val="en-US"/>
        </w:rPr>
      </w:pPr>
      <w:r w:rsidRPr="00B03E22">
        <w:rPr>
          <w:lang w:val="en-US"/>
        </w:rPr>
        <w:t>Félix B (2021 (In press)) A European-wide dataset to uncover adaptives traits of Listeria monocytogenes to diverse ecological niches.</w:t>
      </w:r>
      <w:r w:rsidRPr="00B03E22">
        <w:rPr>
          <w:i/>
          <w:lang w:val="en-US"/>
        </w:rPr>
        <w:t xml:space="preserve"> </w:t>
      </w:r>
      <w:r w:rsidRPr="00E01E4C">
        <w:rPr>
          <w:i/>
          <w:lang w:val="en-US"/>
        </w:rPr>
        <w:t>Scientific data</w:t>
      </w:r>
      <w:r w:rsidRPr="00E01E4C">
        <w:rPr>
          <w:lang w:val="en-US"/>
        </w:rPr>
        <w:t>.</w:t>
      </w:r>
    </w:p>
    <w:p w14:paraId="7357D01B" w14:textId="77777777" w:rsidR="00B03E22" w:rsidRPr="00E01E4C" w:rsidRDefault="00B03E22" w:rsidP="0080229C">
      <w:pPr>
        <w:pStyle w:val="EndNoteBibliography"/>
        <w:spacing w:after="0"/>
        <w:rPr>
          <w:lang w:val="en-US"/>
        </w:rPr>
      </w:pPr>
    </w:p>
    <w:p w14:paraId="16F7BB4A" w14:textId="00A1972A" w:rsidR="0080229C" w:rsidRPr="00E01E4C" w:rsidRDefault="0080229C" w:rsidP="0080229C">
      <w:pPr>
        <w:pStyle w:val="EndNoteBibliography"/>
        <w:spacing w:after="0"/>
        <w:rPr>
          <w:lang w:val="en-US"/>
        </w:rPr>
      </w:pPr>
      <w:r w:rsidRPr="00E01E4C">
        <w:rPr>
          <w:lang w:val="en-US"/>
        </w:rPr>
        <w:t xml:space="preserve">Félix B, Feurer C, Maillet A, Guillier L, Boscher E, Kerouanton A, Denis M &amp; Roussel S (2018) Population genetic structure of Listeria monocytogenes strains isolated from the pig and pork production chain in France. </w:t>
      </w:r>
      <w:r w:rsidRPr="00E01E4C">
        <w:rPr>
          <w:i/>
          <w:lang w:val="en-US"/>
        </w:rPr>
        <w:t>Frontiers in microbiology</w:t>
      </w:r>
      <w:r w:rsidRPr="00E01E4C">
        <w:rPr>
          <w:lang w:val="en-US"/>
        </w:rPr>
        <w:t xml:space="preserve"> </w:t>
      </w:r>
      <w:r w:rsidRPr="00E01E4C">
        <w:rPr>
          <w:b/>
          <w:lang w:val="en-US"/>
        </w:rPr>
        <w:t>9</w:t>
      </w:r>
      <w:r w:rsidRPr="00E01E4C">
        <w:rPr>
          <w:lang w:val="en-US"/>
        </w:rPr>
        <w:t>: 684.</w:t>
      </w:r>
    </w:p>
    <w:p w14:paraId="5230CC9F" w14:textId="77777777" w:rsidR="00B03E22" w:rsidRPr="00E01E4C" w:rsidRDefault="00B03E22" w:rsidP="0080229C">
      <w:pPr>
        <w:pStyle w:val="EndNoteBibliography"/>
        <w:spacing w:after="0"/>
        <w:rPr>
          <w:lang w:val="en-US"/>
        </w:rPr>
      </w:pPr>
    </w:p>
    <w:p w14:paraId="2C1463DC" w14:textId="11CAD378" w:rsidR="0080229C" w:rsidRPr="00E01E4C" w:rsidRDefault="0080229C" w:rsidP="0080229C">
      <w:pPr>
        <w:pStyle w:val="EndNoteBibliography"/>
        <w:spacing w:after="0"/>
        <w:rPr>
          <w:lang w:val="en-US"/>
        </w:rPr>
      </w:pPr>
      <w:r w:rsidRPr="00E01E4C">
        <w:rPr>
          <w:lang w:val="en-US"/>
        </w:rPr>
        <w:t xml:space="preserve">Fonnesbech Vogel B, Huss HH, Ojeniyi B, Ahrens P &amp; Gram L (2001) Elucidation of Listeria monocytogenes contamination routes in cold-smoked salmon processing plants detected by DNA-based typing methods. </w:t>
      </w:r>
      <w:r w:rsidRPr="00E01E4C">
        <w:rPr>
          <w:i/>
          <w:lang w:val="en-US"/>
        </w:rPr>
        <w:t>Appl Environ Microbiol</w:t>
      </w:r>
      <w:r w:rsidRPr="00E01E4C">
        <w:rPr>
          <w:lang w:val="en-US"/>
        </w:rPr>
        <w:t xml:space="preserve"> </w:t>
      </w:r>
      <w:r w:rsidRPr="00E01E4C">
        <w:rPr>
          <w:b/>
          <w:lang w:val="en-US"/>
        </w:rPr>
        <w:t>67</w:t>
      </w:r>
      <w:r w:rsidRPr="00E01E4C">
        <w:rPr>
          <w:lang w:val="en-US"/>
        </w:rPr>
        <w:t>: 2586-2595.</w:t>
      </w:r>
    </w:p>
    <w:p w14:paraId="2D1F4FED" w14:textId="77777777" w:rsidR="00B03E22" w:rsidRPr="00E01E4C" w:rsidRDefault="00B03E22" w:rsidP="0080229C">
      <w:pPr>
        <w:pStyle w:val="EndNoteBibliography"/>
        <w:spacing w:after="0"/>
        <w:rPr>
          <w:lang w:val="en-US"/>
        </w:rPr>
      </w:pPr>
    </w:p>
    <w:p w14:paraId="66895A90" w14:textId="05046C67" w:rsidR="0080229C" w:rsidRDefault="0080229C" w:rsidP="0080229C">
      <w:pPr>
        <w:pStyle w:val="EndNoteBibliography"/>
        <w:spacing w:after="0"/>
      </w:pPr>
      <w:r w:rsidRPr="00B03E22">
        <w:rPr>
          <w:lang w:val="en-US"/>
        </w:rPr>
        <w:t xml:space="preserve">Fonnesbech Vogel B, Huss HH, Ojeniyi B, Jorgensen LV &amp; Gram L (2001) Diversity of </w:t>
      </w:r>
      <w:r w:rsidRPr="00B03E22">
        <w:rPr>
          <w:i/>
          <w:lang w:val="en-US"/>
        </w:rPr>
        <w:t>listeria monocytogenes</w:t>
      </w:r>
      <w:r w:rsidRPr="00B03E22">
        <w:rPr>
          <w:lang w:val="en-US"/>
        </w:rPr>
        <w:t xml:space="preserve"> isolated from cold-smoked salmon produced in different smokehouses as assessed by random amplified polymorphic DNA analyses. </w:t>
      </w:r>
      <w:r w:rsidRPr="0080229C">
        <w:rPr>
          <w:i/>
        </w:rPr>
        <w:t>Int J Food Microbiol</w:t>
      </w:r>
      <w:r w:rsidRPr="0080229C">
        <w:t xml:space="preserve"> </w:t>
      </w:r>
      <w:r w:rsidRPr="0080229C">
        <w:rPr>
          <w:b/>
        </w:rPr>
        <w:t>65</w:t>
      </w:r>
      <w:r w:rsidRPr="0080229C">
        <w:t>: 83-92.</w:t>
      </w:r>
    </w:p>
    <w:p w14:paraId="15BF65B7" w14:textId="77777777" w:rsidR="00B03E22" w:rsidRPr="0080229C" w:rsidRDefault="00B03E22" w:rsidP="0080229C">
      <w:pPr>
        <w:pStyle w:val="EndNoteBibliography"/>
        <w:spacing w:after="0"/>
      </w:pPr>
    </w:p>
    <w:p w14:paraId="2490CE8E" w14:textId="2E952AE3" w:rsidR="0080229C" w:rsidRDefault="0080229C" w:rsidP="0080229C">
      <w:pPr>
        <w:pStyle w:val="EndNoteBibliography"/>
        <w:spacing w:after="0"/>
      </w:pPr>
      <w:r w:rsidRPr="0080229C">
        <w:t xml:space="preserve">FranceAgrimer (2014) La production de la filière pêche et aquaculture. . </w:t>
      </w:r>
      <w:hyperlink r:id="rId35" w:history="1">
        <w:r w:rsidRPr="0080229C">
          <w:rPr>
            <w:rStyle w:val="Lienhypertexte"/>
            <w:rFonts w:cs="Calibri"/>
            <w:i/>
          </w:rPr>
          <w:t>Http://wwwfranceagrimerfr/</w:t>
        </w:r>
      </w:hyperlink>
      <w:r w:rsidRPr="0080229C">
        <w:t>.</w:t>
      </w:r>
    </w:p>
    <w:p w14:paraId="2B9B1045" w14:textId="77777777" w:rsidR="00B03E22" w:rsidRPr="0080229C" w:rsidRDefault="00B03E22" w:rsidP="0080229C">
      <w:pPr>
        <w:pStyle w:val="EndNoteBibliography"/>
        <w:spacing w:after="0"/>
      </w:pPr>
    </w:p>
    <w:p w14:paraId="534B6F25" w14:textId="1F009B95" w:rsidR="0080229C" w:rsidRDefault="0080229C" w:rsidP="0080229C">
      <w:pPr>
        <w:pStyle w:val="EndNoteBibliography"/>
        <w:spacing w:after="0"/>
      </w:pPr>
      <w:r w:rsidRPr="0080229C">
        <w:t xml:space="preserve">FranceAgrimer (2014) Les marchés de la filière pêche et aquaculture. </w:t>
      </w:r>
      <w:hyperlink r:id="rId36" w:history="1">
        <w:r w:rsidRPr="0080229C">
          <w:rPr>
            <w:rStyle w:val="Lienhypertexte"/>
            <w:rFonts w:cs="Calibri"/>
            <w:i/>
          </w:rPr>
          <w:t>http://wwwfranceagrimerfr/</w:t>
        </w:r>
      </w:hyperlink>
      <w:r w:rsidRPr="0080229C">
        <w:t>.</w:t>
      </w:r>
    </w:p>
    <w:p w14:paraId="755D6A28" w14:textId="77777777" w:rsidR="00B03E22" w:rsidRPr="0080229C" w:rsidRDefault="00B03E22" w:rsidP="0080229C">
      <w:pPr>
        <w:pStyle w:val="EndNoteBibliography"/>
        <w:spacing w:after="0"/>
      </w:pPr>
    </w:p>
    <w:p w14:paraId="58173CA5" w14:textId="58911E03" w:rsidR="0080229C" w:rsidRDefault="0080229C" w:rsidP="0080229C">
      <w:pPr>
        <w:pStyle w:val="EndNoteBibliography"/>
        <w:spacing w:after="0"/>
      </w:pPr>
      <w:r w:rsidRPr="0080229C">
        <w:t xml:space="preserve">FranceAgrimer (2014) Consommation des produits de la pêche et de l’aquaculture. </w:t>
      </w:r>
      <w:hyperlink r:id="rId37" w:history="1">
        <w:r w:rsidRPr="0080229C">
          <w:rPr>
            <w:rStyle w:val="Lienhypertexte"/>
            <w:rFonts w:cs="Calibri"/>
            <w:i/>
          </w:rPr>
          <w:t>http://wwwfranceagrimerfr/</w:t>
        </w:r>
      </w:hyperlink>
      <w:r w:rsidRPr="0080229C">
        <w:t>.</w:t>
      </w:r>
    </w:p>
    <w:p w14:paraId="52393CF8" w14:textId="77777777" w:rsidR="00B03E22" w:rsidRPr="0080229C" w:rsidRDefault="00B03E22" w:rsidP="0080229C">
      <w:pPr>
        <w:pStyle w:val="EndNoteBibliography"/>
        <w:spacing w:after="0"/>
      </w:pPr>
    </w:p>
    <w:p w14:paraId="542FB808" w14:textId="1F46FB72" w:rsidR="0080229C" w:rsidRDefault="0080229C" w:rsidP="0080229C">
      <w:pPr>
        <w:pStyle w:val="EndNoteBibliography"/>
        <w:spacing w:after="0"/>
      </w:pPr>
      <w:r w:rsidRPr="00E01E4C">
        <w:rPr>
          <w:lang w:val="en-US"/>
        </w:rPr>
        <w:t xml:space="preserve">González D, Vitas AI, Díez-Leturia M &amp; García-Jalón I (2013) Listeria monocytogenes and ready-to-eat seafood in Spain: Study of prevalence and temperatures at retail. </w:t>
      </w:r>
      <w:r w:rsidRPr="0080229C">
        <w:rPr>
          <w:i/>
        </w:rPr>
        <w:t>Food Microbiol</w:t>
      </w:r>
      <w:r w:rsidRPr="0080229C">
        <w:t xml:space="preserve"> </w:t>
      </w:r>
      <w:r w:rsidRPr="0080229C">
        <w:rPr>
          <w:b/>
        </w:rPr>
        <w:t>36</w:t>
      </w:r>
      <w:r w:rsidRPr="0080229C">
        <w:t>: 374-378.</w:t>
      </w:r>
    </w:p>
    <w:p w14:paraId="01291005" w14:textId="77777777" w:rsidR="00B03E22" w:rsidRPr="0080229C" w:rsidRDefault="00B03E22" w:rsidP="0080229C">
      <w:pPr>
        <w:pStyle w:val="EndNoteBibliography"/>
        <w:spacing w:after="0"/>
      </w:pPr>
    </w:p>
    <w:p w14:paraId="2010B3EF" w14:textId="4FCBB912" w:rsidR="0080229C" w:rsidRPr="00E01E4C" w:rsidRDefault="0080229C" w:rsidP="0080229C">
      <w:pPr>
        <w:pStyle w:val="EndNoteBibliography"/>
        <w:spacing w:after="0"/>
        <w:rPr>
          <w:lang w:val="en-US"/>
        </w:rPr>
      </w:pPr>
      <w:r w:rsidRPr="0080229C">
        <w:t xml:space="preserve">Goulet V, Leclercq A, Laurent E, King LA, Chenal-Francisque V, Vaillant V, Letort MJ, Lecuit M &amp; de Valk H (2012) Surveillance de la listériose humaine en France, 1999-2011. </w:t>
      </w:r>
      <w:r w:rsidRPr="00E01E4C">
        <w:rPr>
          <w:i/>
          <w:lang w:val="en-US"/>
        </w:rPr>
        <w:t>BEH</w:t>
      </w:r>
      <w:r w:rsidRPr="00E01E4C">
        <w:rPr>
          <w:lang w:val="en-US"/>
        </w:rPr>
        <w:t xml:space="preserve"> </w:t>
      </w:r>
      <w:r w:rsidRPr="00E01E4C">
        <w:rPr>
          <w:b/>
          <w:lang w:val="en-US"/>
        </w:rPr>
        <w:t>HS</w:t>
      </w:r>
      <w:r w:rsidRPr="00E01E4C">
        <w:rPr>
          <w:lang w:val="en-US"/>
        </w:rPr>
        <w:t>: 39-45.</w:t>
      </w:r>
    </w:p>
    <w:p w14:paraId="5587B730" w14:textId="77777777" w:rsidR="00B03E22" w:rsidRPr="00E01E4C" w:rsidRDefault="00B03E22" w:rsidP="0080229C">
      <w:pPr>
        <w:pStyle w:val="EndNoteBibliography"/>
        <w:spacing w:after="0"/>
        <w:rPr>
          <w:lang w:val="en-US"/>
        </w:rPr>
      </w:pPr>
    </w:p>
    <w:p w14:paraId="4E5A2832" w14:textId="71DF27EA" w:rsidR="0080229C" w:rsidRPr="00E01E4C" w:rsidRDefault="0080229C" w:rsidP="0080229C">
      <w:pPr>
        <w:pStyle w:val="EndNoteBibliography"/>
        <w:spacing w:after="0"/>
        <w:rPr>
          <w:lang w:val="en-US"/>
        </w:rPr>
      </w:pPr>
      <w:r w:rsidRPr="00E01E4C">
        <w:rPr>
          <w:lang w:val="en-US"/>
        </w:rPr>
        <w:t xml:space="preserve">Halter EL, Neuhaus K &amp; Scherer S (2013) Listeria weihenstephanensis sp. nov., isolated from the water plant Lemna trisulca taken from a freshwater pond. </w:t>
      </w:r>
      <w:r w:rsidRPr="00E01E4C">
        <w:rPr>
          <w:i/>
          <w:lang w:val="en-US"/>
        </w:rPr>
        <w:t>International journal of systematic and evolutionary microbiology</w:t>
      </w:r>
      <w:r w:rsidRPr="00E01E4C">
        <w:rPr>
          <w:lang w:val="en-US"/>
        </w:rPr>
        <w:t xml:space="preserve"> </w:t>
      </w:r>
      <w:r w:rsidRPr="00E01E4C">
        <w:rPr>
          <w:b/>
          <w:lang w:val="en-US"/>
        </w:rPr>
        <w:t>63</w:t>
      </w:r>
      <w:r w:rsidRPr="00E01E4C">
        <w:rPr>
          <w:lang w:val="en-US"/>
        </w:rPr>
        <w:t>: 641-647.</w:t>
      </w:r>
    </w:p>
    <w:p w14:paraId="190B2D3A" w14:textId="77777777" w:rsidR="00B03E22" w:rsidRPr="00E01E4C" w:rsidRDefault="00B03E22" w:rsidP="0080229C">
      <w:pPr>
        <w:pStyle w:val="EndNoteBibliography"/>
        <w:spacing w:after="0"/>
        <w:rPr>
          <w:lang w:val="en-US"/>
        </w:rPr>
      </w:pPr>
    </w:p>
    <w:p w14:paraId="53BE3411" w14:textId="44797B0D" w:rsidR="0080229C" w:rsidRPr="00E01E4C" w:rsidRDefault="0080229C" w:rsidP="0080229C">
      <w:pPr>
        <w:pStyle w:val="EndNoteBibliography"/>
        <w:spacing w:after="0"/>
        <w:rPr>
          <w:lang w:val="en-US"/>
        </w:rPr>
      </w:pPr>
      <w:r w:rsidRPr="00E01E4C">
        <w:rPr>
          <w:lang w:val="en-US"/>
        </w:rPr>
        <w:t xml:space="preserve">Hansen CH, Vogel BF &amp; Gram L (2006) Prevalence and survival of Listeria monocytogenes in Danish aquatic and fish-processing environments. </w:t>
      </w:r>
      <w:r w:rsidRPr="00E01E4C">
        <w:rPr>
          <w:i/>
          <w:lang w:val="en-US"/>
        </w:rPr>
        <w:t>J Food Prot</w:t>
      </w:r>
      <w:r w:rsidRPr="00E01E4C">
        <w:rPr>
          <w:lang w:val="en-US"/>
        </w:rPr>
        <w:t xml:space="preserve"> </w:t>
      </w:r>
      <w:r w:rsidRPr="00E01E4C">
        <w:rPr>
          <w:b/>
          <w:lang w:val="en-US"/>
        </w:rPr>
        <w:t>69</w:t>
      </w:r>
      <w:r w:rsidRPr="00E01E4C">
        <w:rPr>
          <w:lang w:val="en-US"/>
        </w:rPr>
        <w:t>: 2113-2122.</w:t>
      </w:r>
    </w:p>
    <w:p w14:paraId="037288C1" w14:textId="77777777" w:rsidR="00B03E22" w:rsidRPr="00E01E4C" w:rsidRDefault="00B03E22" w:rsidP="0080229C">
      <w:pPr>
        <w:pStyle w:val="EndNoteBibliography"/>
        <w:spacing w:after="0"/>
        <w:rPr>
          <w:lang w:val="en-US"/>
        </w:rPr>
      </w:pPr>
    </w:p>
    <w:p w14:paraId="7A7D0EDF" w14:textId="3AF68A5D" w:rsidR="0080229C" w:rsidRPr="00E01E4C" w:rsidRDefault="0080229C" w:rsidP="0080229C">
      <w:pPr>
        <w:pStyle w:val="EndNoteBibliography"/>
        <w:spacing w:after="0"/>
        <w:rPr>
          <w:lang w:val="en-US"/>
        </w:rPr>
      </w:pPr>
      <w:r w:rsidRPr="00E01E4C">
        <w:rPr>
          <w:lang w:val="en-US"/>
        </w:rPr>
        <w:t xml:space="preserve">Henri C, Félix B, Guillier L, Leekitcharoenphon P, Michelon D, Mariet J-F, Aarestrup FM, Mistou M-Y, Hendriksen RS &amp; Roussel S (2016) Population genetic structure of Listeria monocytogenes strains as determined by pulsed-field gel electrophoresis and multilocus sequence typing. </w:t>
      </w:r>
      <w:r w:rsidRPr="00E01E4C">
        <w:rPr>
          <w:i/>
          <w:lang w:val="en-US"/>
        </w:rPr>
        <w:t>Applied and environmental microbiology</w:t>
      </w:r>
      <w:r w:rsidRPr="00E01E4C">
        <w:rPr>
          <w:lang w:val="en-US"/>
        </w:rPr>
        <w:t xml:space="preserve"> </w:t>
      </w:r>
      <w:r w:rsidRPr="00E01E4C">
        <w:rPr>
          <w:b/>
          <w:lang w:val="en-US"/>
        </w:rPr>
        <w:t>82</w:t>
      </w:r>
      <w:r w:rsidRPr="00E01E4C">
        <w:rPr>
          <w:lang w:val="en-US"/>
        </w:rPr>
        <w:t>: 5720-5728.</w:t>
      </w:r>
    </w:p>
    <w:p w14:paraId="1F26F37E" w14:textId="77777777" w:rsidR="00B03E22" w:rsidRPr="00E01E4C" w:rsidRDefault="00B03E22" w:rsidP="0080229C">
      <w:pPr>
        <w:pStyle w:val="EndNoteBibliography"/>
        <w:spacing w:after="0"/>
        <w:rPr>
          <w:lang w:val="en-US"/>
        </w:rPr>
      </w:pPr>
    </w:p>
    <w:p w14:paraId="1ADC932F" w14:textId="48D83040" w:rsidR="0080229C" w:rsidRPr="00E01E4C" w:rsidRDefault="0080229C" w:rsidP="0080229C">
      <w:pPr>
        <w:pStyle w:val="EndNoteBibliography"/>
        <w:spacing w:after="0"/>
        <w:rPr>
          <w:lang w:val="en-US"/>
        </w:rPr>
      </w:pPr>
      <w:r w:rsidRPr="00E01E4C">
        <w:rPr>
          <w:lang w:val="en-US"/>
        </w:rPr>
        <w:t xml:space="preserve">Hilliard A, Leong D, O’Callaghan A, Culligan EP, Morgan CA, DeLappe N, Hill C, Jordan K, Cormican M &amp; Gahan CG (2018) Genomic characterization of Listeria monocytogenes isolates associated with clinical listeriosis and the food production environment in Ireland. </w:t>
      </w:r>
      <w:r w:rsidRPr="00E01E4C">
        <w:rPr>
          <w:i/>
          <w:lang w:val="en-US"/>
        </w:rPr>
        <w:t>Genes</w:t>
      </w:r>
      <w:r w:rsidRPr="00E01E4C">
        <w:rPr>
          <w:lang w:val="en-US"/>
        </w:rPr>
        <w:t xml:space="preserve"> </w:t>
      </w:r>
      <w:r w:rsidRPr="00E01E4C">
        <w:rPr>
          <w:b/>
          <w:lang w:val="en-US"/>
        </w:rPr>
        <w:t>9</w:t>
      </w:r>
      <w:r w:rsidRPr="00E01E4C">
        <w:rPr>
          <w:lang w:val="en-US"/>
        </w:rPr>
        <w:t>: 171.</w:t>
      </w:r>
    </w:p>
    <w:p w14:paraId="28BFE1EA" w14:textId="77777777" w:rsidR="00B03E22" w:rsidRPr="00E01E4C" w:rsidRDefault="00B03E22" w:rsidP="0080229C">
      <w:pPr>
        <w:pStyle w:val="EndNoteBibliography"/>
        <w:spacing w:after="0"/>
        <w:rPr>
          <w:lang w:val="en-US"/>
        </w:rPr>
      </w:pPr>
    </w:p>
    <w:p w14:paraId="729FB8CE" w14:textId="5B3C9C43" w:rsidR="0080229C" w:rsidRPr="00E01E4C" w:rsidRDefault="0080229C" w:rsidP="0080229C">
      <w:pPr>
        <w:pStyle w:val="EndNoteBibliography"/>
        <w:spacing w:after="0"/>
        <w:rPr>
          <w:lang w:val="en-US"/>
        </w:rPr>
      </w:pPr>
      <w:r w:rsidRPr="00B03E22">
        <w:rPr>
          <w:lang w:val="en-US"/>
        </w:rPr>
        <w:t xml:space="preserve">Hoffman AD, Gall KL, Norton DM &amp; Wiedmann M (2003) </w:t>
      </w:r>
      <w:r w:rsidRPr="00B03E22">
        <w:rPr>
          <w:i/>
          <w:lang w:val="en-US"/>
        </w:rPr>
        <w:t>Listeria monocytogenes</w:t>
      </w:r>
      <w:r w:rsidRPr="00B03E22">
        <w:rPr>
          <w:lang w:val="en-US"/>
        </w:rPr>
        <w:t xml:space="preserve"> contamination patterns for the smoked fish processing environment and for raw fish. </w:t>
      </w:r>
      <w:r w:rsidRPr="00E01E4C">
        <w:rPr>
          <w:i/>
          <w:lang w:val="en-US"/>
        </w:rPr>
        <w:t>J Food Prot</w:t>
      </w:r>
      <w:r w:rsidRPr="00E01E4C">
        <w:rPr>
          <w:lang w:val="en-US"/>
        </w:rPr>
        <w:t xml:space="preserve"> </w:t>
      </w:r>
      <w:r w:rsidRPr="00E01E4C">
        <w:rPr>
          <w:b/>
          <w:lang w:val="en-US"/>
        </w:rPr>
        <w:t>66</w:t>
      </w:r>
      <w:r w:rsidRPr="00E01E4C">
        <w:rPr>
          <w:lang w:val="en-US"/>
        </w:rPr>
        <w:t>: 52-60.</w:t>
      </w:r>
    </w:p>
    <w:p w14:paraId="3F43986C" w14:textId="77777777" w:rsidR="00B03E22" w:rsidRPr="00E01E4C" w:rsidRDefault="00B03E22" w:rsidP="0080229C">
      <w:pPr>
        <w:pStyle w:val="EndNoteBibliography"/>
        <w:spacing w:after="0"/>
        <w:rPr>
          <w:lang w:val="en-US"/>
        </w:rPr>
      </w:pPr>
    </w:p>
    <w:p w14:paraId="1F92369A" w14:textId="582F8439" w:rsidR="0080229C" w:rsidRPr="00E01E4C" w:rsidRDefault="0080229C" w:rsidP="0080229C">
      <w:pPr>
        <w:pStyle w:val="EndNoteBibliography"/>
        <w:spacing w:after="0"/>
        <w:rPr>
          <w:lang w:val="en-US"/>
        </w:rPr>
      </w:pPr>
      <w:r w:rsidRPr="00B03E22">
        <w:rPr>
          <w:lang w:val="en-US"/>
        </w:rPr>
        <w:lastRenderedPageBreak/>
        <w:t xml:space="preserve">Jami M, Ghanbari M, Zunabovic M, Domig KJ &amp; Kneifel W (2014) Listeria monocytogenes in aquatic food products-A review. </w:t>
      </w:r>
      <w:r w:rsidRPr="00E01E4C">
        <w:rPr>
          <w:i/>
          <w:lang w:val="en-US"/>
        </w:rPr>
        <w:t>Comprehensive Reviews in Food Science and Food Safety</w:t>
      </w:r>
      <w:r w:rsidRPr="00E01E4C">
        <w:rPr>
          <w:lang w:val="en-US"/>
        </w:rPr>
        <w:t xml:space="preserve"> </w:t>
      </w:r>
      <w:r w:rsidRPr="00E01E4C">
        <w:rPr>
          <w:b/>
          <w:lang w:val="en-US"/>
        </w:rPr>
        <w:t>13</w:t>
      </w:r>
      <w:r w:rsidRPr="00E01E4C">
        <w:rPr>
          <w:lang w:val="en-US"/>
        </w:rPr>
        <w:t>: 798-813.</w:t>
      </w:r>
    </w:p>
    <w:p w14:paraId="31F0650F" w14:textId="77777777" w:rsidR="00B03E22" w:rsidRPr="00E01E4C" w:rsidRDefault="00B03E22" w:rsidP="0080229C">
      <w:pPr>
        <w:pStyle w:val="EndNoteBibliography"/>
        <w:spacing w:after="0"/>
        <w:rPr>
          <w:lang w:val="en-US"/>
        </w:rPr>
      </w:pPr>
    </w:p>
    <w:p w14:paraId="4F72ADD3" w14:textId="69D2522B" w:rsidR="0080229C" w:rsidRPr="00E01E4C" w:rsidRDefault="0080229C" w:rsidP="0080229C">
      <w:pPr>
        <w:pStyle w:val="EndNoteBibliography"/>
        <w:spacing w:after="0"/>
        <w:rPr>
          <w:lang w:val="en-US"/>
        </w:rPr>
      </w:pPr>
      <w:r w:rsidRPr="00E01E4C">
        <w:rPr>
          <w:lang w:val="en-US"/>
        </w:rPr>
        <w:t xml:space="preserve">Jami M, Ghanbari M, Zunabovic M, Domig KJ &amp; Kneifel W (2014) </w:t>
      </w:r>
      <w:r w:rsidRPr="00E01E4C">
        <w:rPr>
          <w:i/>
          <w:lang w:val="en-US"/>
        </w:rPr>
        <w:t>Listeria monocytogenes</w:t>
      </w:r>
      <w:r w:rsidRPr="00E01E4C">
        <w:rPr>
          <w:lang w:val="en-US"/>
        </w:rPr>
        <w:t xml:space="preserve"> in aquatic food products—a review. </w:t>
      </w:r>
      <w:r w:rsidRPr="00E01E4C">
        <w:rPr>
          <w:i/>
          <w:lang w:val="en-US"/>
        </w:rPr>
        <w:t>Comprehensive Reviews in Food Science and Food Safety</w:t>
      </w:r>
      <w:r w:rsidRPr="00E01E4C">
        <w:rPr>
          <w:lang w:val="en-US"/>
        </w:rPr>
        <w:t xml:space="preserve"> </w:t>
      </w:r>
      <w:r w:rsidRPr="00E01E4C">
        <w:rPr>
          <w:b/>
          <w:lang w:val="en-US"/>
        </w:rPr>
        <w:t>13</w:t>
      </w:r>
      <w:r w:rsidRPr="00E01E4C">
        <w:rPr>
          <w:lang w:val="en-US"/>
        </w:rPr>
        <w:t>: 798-813.</w:t>
      </w:r>
    </w:p>
    <w:p w14:paraId="44A72D83" w14:textId="77777777" w:rsidR="00B03E22" w:rsidRPr="00E01E4C" w:rsidRDefault="00B03E22" w:rsidP="0080229C">
      <w:pPr>
        <w:pStyle w:val="EndNoteBibliography"/>
        <w:spacing w:after="0"/>
        <w:rPr>
          <w:lang w:val="en-US"/>
        </w:rPr>
      </w:pPr>
    </w:p>
    <w:p w14:paraId="789547E4" w14:textId="21CE3B8E" w:rsidR="0080229C" w:rsidRPr="00E01E4C" w:rsidRDefault="0080229C" w:rsidP="0080229C">
      <w:pPr>
        <w:pStyle w:val="EndNoteBibliography"/>
        <w:spacing w:after="0"/>
        <w:rPr>
          <w:lang w:val="en-US"/>
        </w:rPr>
      </w:pPr>
      <w:r w:rsidRPr="00B03E22">
        <w:rPr>
          <w:lang w:val="en-US"/>
        </w:rPr>
        <w:t xml:space="preserve">Jelena K, Ružica A, Baltić Mišić D, Mirjana D, Marija S, Ašanin N &amp; Kovačević IK (2011) Presence of Listeria spp in fish samples, fish products and sea products. </w:t>
      </w:r>
      <w:r w:rsidRPr="00E01E4C">
        <w:rPr>
          <w:i/>
          <w:lang w:val="en-US"/>
        </w:rPr>
        <w:t>Acta Vet (Beogr)</w:t>
      </w:r>
      <w:r w:rsidRPr="00E01E4C">
        <w:rPr>
          <w:lang w:val="en-US"/>
        </w:rPr>
        <w:t xml:space="preserve"> </w:t>
      </w:r>
      <w:r w:rsidRPr="00E01E4C">
        <w:rPr>
          <w:b/>
          <w:lang w:val="en-US"/>
        </w:rPr>
        <w:t>61</w:t>
      </w:r>
      <w:r w:rsidRPr="00E01E4C">
        <w:rPr>
          <w:lang w:val="en-US"/>
        </w:rPr>
        <w:t>: 193-203.</w:t>
      </w:r>
    </w:p>
    <w:p w14:paraId="7FCF80E9" w14:textId="77777777" w:rsidR="00B03E22" w:rsidRPr="00E01E4C" w:rsidRDefault="00B03E22" w:rsidP="0080229C">
      <w:pPr>
        <w:pStyle w:val="EndNoteBibliography"/>
        <w:spacing w:after="0"/>
        <w:rPr>
          <w:lang w:val="en-US"/>
        </w:rPr>
      </w:pPr>
    </w:p>
    <w:p w14:paraId="705558C1" w14:textId="7FBAC079" w:rsidR="0080229C" w:rsidRPr="00E01E4C" w:rsidRDefault="0080229C" w:rsidP="0080229C">
      <w:pPr>
        <w:pStyle w:val="EndNoteBibliography"/>
        <w:spacing w:after="0"/>
        <w:rPr>
          <w:lang w:val="en-US"/>
        </w:rPr>
      </w:pPr>
      <w:r w:rsidRPr="00E01E4C">
        <w:rPr>
          <w:lang w:val="en-US"/>
        </w:rPr>
        <w:t xml:space="preserve">Jorgensen LV &amp; Huss HH (1998) Prevalence and growth of Listeria monocytogenes in naturally contaminated seafood. </w:t>
      </w:r>
      <w:r w:rsidRPr="00E01E4C">
        <w:rPr>
          <w:i/>
          <w:lang w:val="en-US"/>
        </w:rPr>
        <w:t>Int J Food Microbiol</w:t>
      </w:r>
      <w:r w:rsidRPr="00E01E4C">
        <w:rPr>
          <w:lang w:val="en-US"/>
        </w:rPr>
        <w:t xml:space="preserve"> </w:t>
      </w:r>
      <w:r w:rsidRPr="00E01E4C">
        <w:rPr>
          <w:b/>
          <w:lang w:val="en-US"/>
        </w:rPr>
        <w:t>42</w:t>
      </w:r>
      <w:r w:rsidRPr="00E01E4C">
        <w:rPr>
          <w:lang w:val="en-US"/>
        </w:rPr>
        <w:t>: 127-131.</w:t>
      </w:r>
    </w:p>
    <w:p w14:paraId="3A76E72E" w14:textId="77777777" w:rsidR="00B03E22" w:rsidRPr="00E01E4C" w:rsidRDefault="00B03E22" w:rsidP="0080229C">
      <w:pPr>
        <w:pStyle w:val="EndNoteBibliography"/>
        <w:spacing w:after="0"/>
        <w:rPr>
          <w:lang w:val="en-US"/>
        </w:rPr>
      </w:pPr>
    </w:p>
    <w:p w14:paraId="24CEB79D" w14:textId="1805CB5C" w:rsidR="0080229C" w:rsidRDefault="0080229C" w:rsidP="0080229C">
      <w:pPr>
        <w:pStyle w:val="EndNoteBibliography"/>
        <w:spacing w:after="0"/>
      </w:pPr>
      <w:r w:rsidRPr="00B03E22">
        <w:rPr>
          <w:lang w:val="en-US"/>
        </w:rPr>
        <w:t xml:space="preserve">Kerouanton A, Marault M, Petit L, Grout J, Dao TT &amp; Brisabois A (2010) Evaluation of a multiplex PCR assay as an alternative method for Listeria monocytogenes serotyping. </w:t>
      </w:r>
      <w:r w:rsidRPr="0080229C">
        <w:rPr>
          <w:i/>
        </w:rPr>
        <w:t>J Microbiol Methods</w:t>
      </w:r>
      <w:r w:rsidRPr="0080229C">
        <w:t xml:space="preserve"> </w:t>
      </w:r>
      <w:r w:rsidRPr="0080229C">
        <w:rPr>
          <w:b/>
        </w:rPr>
        <w:t>80</w:t>
      </w:r>
      <w:r w:rsidRPr="0080229C">
        <w:t>: 134-137.</w:t>
      </w:r>
    </w:p>
    <w:p w14:paraId="31574963" w14:textId="77777777" w:rsidR="00B03E22" w:rsidRPr="0080229C" w:rsidRDefault="00B03E22" w:rsidP="0080229C">
      <w:pPr>
        <w:pStyle w:val="EndNoteBibliography"/>
        <w:spacing w:after="0"/>
      </w:pPr>
    </w:p>
    <w:p w14:paraId="654B28E1" w14:textId="6AB4F6CD" w:rsidR="0080229C" w:rsidRPr="00E01E4C" w:rsidRDefault="0080229C" w:rsidP="0080229C">
      <w:pPr>
        <w:pStyle w:val="EndNoteBibliography"/>
        <w:spacing w:after="0"/>
        <w:rPr>
          <w:lang w:val="en-US"/>
        </w:rPr>
      </w:pPr>
      <w:r w:rsidRPr="0080229C">
        <w:t xml:space="preserve">Kortebi M (2018) Caractérisation d’une phase de persistance intracellulaire du pathogène Listeria monocytogenes. </w:t>
      </w:r>
      <w:r w:rsidRPr="00E01E4C">
        <w:rPr>
          <w:lang w:val="en-US"/>
        </w:rPr>
        <w:t>Thesis, Université Paris-Saclay (ComUE).</w:t>
      </w:r>
    </w:p>
    <w:p w14:paraId="3B6D17B9" w14:textId="77777777" w:rsidR="00B03E22" w:rsidRPr="00E01E4C" w:rsidRDefault="00B03E22" w:rsidP="0080229C">
      <w:pPr>
        <w:pStyle w:val="EndNoteBibliography"/>
        <w:spacing w:after="0"/>
        <w:rPr>
          <w:lang w:val="en-US"/>
        </w:rPr>
      </w:pPr>
    </w:p>
    <w:p w14:paraId="41603C1E" w14:textId="32B6BC88" w:rsidR="0080229C" w:rsidRPr="00E01E4C" w:rsidRDefault="0080229C" w:rsidP="0080229C">
      <w:pPr>
        <w:pStyle w:val="EndNoteBibliography"/>
        <w:spacing w:after="0"/>
        <w:rPr>
          <w:lang w:val="en-US"/>
        </w:rPr>
      </w:pPr>
      <w:r w:rsidRPr="00E01E4C">
        <w:rPr>
          <w:lang w:val="en-US"/>
        </w:rPr>
        <w:t xml:space="preserve">Kramarenko T, Roasto M, Meremäe K, Kuningas M, Põltsama P &amp; Elias T (2013) Listeria monocytogenes prevalence and serotype diversity in various foods. </w:t>
      </w:r>
      <w:r w:rsidRPr="00E01E4C">
        <w:rPr>
          <w:i/>
          <w:lang w:val="en-US"/>
        </w:rPr>
        <w:t>Food Control</w:t>
      </w:r>
      <w:r w:rsidRPr="00E01E4C">
        <w:rPr>
          <w:lang w:val="en-US"/>
        </w:rPr>
        <w:t xml:space="preserve"> </w:t>
      </w:r>
      <w:r w:rsidRPr="00E01E4C">
        <w:rPr>
          <w:b/>
          <w:lang w:val="en-US"/>
        </w:rPr>
        <w:t>30</w:t>
      </w:r>
      <w:r w:rsidRPr="00E01E4C">
        <w:rPr>
          <w:lang w:val="en-US"/>
        </w:rPr>
        <w:t>: 24-29.</w:t>
      </w:r>
    </w:p>
    <w:p w14:paraId="276B6D79" w14:textId="77777777" w:rsidR="00B03E22" w:rsidRPr="00E01E4C" w:rsidRDefault="00B03E22" w:rsidP="0080229C">
      <w:pPr>
        <w:pStyle w:val="EndNoteBibliography"/>
        <w:spacing w:after="0"/>
        <w:rPr>
          <w:lang w:val="en-US"/>
        </w:rPr>
      </w:pPr>
    </w:p>
    <w:p w14:paraId="7B43EF62" w14:textId="32CA584A" w:rsidR="0080229C" w:rsidRPr="00E01E4C" w:rsidRDefault="0080229C" w:rsidP="0080229C">
      <w:pPr>
        <w:pStyle w:val="EndNoteBibliography"/>
        <w:spacing w:after="0"/>
        <w:rPr>
          <w:lang w:val="en-US"/>
        </w:rPr>
      </w:pPr>
      <w:r w:rsidRPr="00E01E4C">
        <w:rPr>
          <w:lang w:val="en-US"/>
        </w:rPr>
        <w:t xml:space="preserve">Lambertz ST, Nilsson C, Brådenmark A, Sylvén S, Johansson A, Jansson LM &amp; Lindblad M (2012) Prevalence and level of Listeria monocytogenes in ready-to-eat foods in Sweden 2010. </w:t>
      </w:r>
      <w:r w:rsidRPr="00E01E4C">
        <w:rPr>
          <w:i/>
          <w:lang w:val="en-US"/>
        </w:rPr>
        <w:t>Int J Food Microbiol</w:t>
      </w:r>
      <w:r w:rsidRPr="00E01E4C">
        <w:rPr>
          <w:lang w:val="en-US"/>
        </w:rPr>
        <w:t xml:space="preserve"> </w:t>
      </w:r>
      <w:r w:rsidRPr="00E01E4C">
        <w:rPr>
          <w:b/>
          <w:lang w:val="en-US"/>
        </w:rPr>
        <w:t>160</w:t>
      </w:r>
      <w:r w:rsidRPr="00E01E4C">
        <w:rPr>
          <w:lang w:val="en-US"/>
        </w:rPr>
        <w:t>: 24-31.</w:t>
      </w:r>
    </w:p>
    <w:p w14:paraId="17A9E08F" w14:textId="77777777" w:rsidR="00B03E22" w:rsidRPr="00E01E4C" w:rsidRDefault="00B03E22" w:rsidP="0080229C">
      <w:pPr>
        <w:pStyle w:val="EndNoteBibliography"/>
        <w:spacing w:after="0"/>
        <w:rPr>
          <w:lang w:val="en-US"/>
        </w:rPr>
      </w:pPr>
    </w:p>
    <w:p w14:paraId="3A808F0E" w14:textId="7E6C3E6C" w:rsidR="0080229C" w:rsidRPr="00E01E4C" w:rsidRDefault="0080229C" w:rsidP="0080229C">
      <w:pPr>
        <w:pStyle w:val="EndNoteBibliography"/>
        <w:spacing w:after="0"/>
        <w:rPr>
          <w:lang w:val="en-US"/>
        </w:rPr>
      </w:pPr>
      <w:r w:rsidRPr="00E01E4C">
        <w:rPr>
          <w:lang w:val="en-US"/>
        </w:rPr>
        <w:t xml:space="preserve">Lappi VR, Thimothe J, Nightingale KK, Gall K, Scott VN &amp; Wiedmann M (2004) Longitudinal studies on </w:t>
      </w:r>
      <w:r w:rsidRPr="00E01E4C">
        <w:rPr>
          <w:i/>
          <w:lang w:val="en-US"/>
        </w:rPr>
        <w:t>Listeria</w:t>
      </w:r>
      <w:r w:rsidRPr="00E01E4C">
        <w:rPr>
          <w:lang w:val="en-US"/>
        </w:rPr>
        <w:t xml:space="preserve"> in smoked fish plants: impact of intervention strategies on contamination patterns. </w:t>
      </w:r>
      <w:r w:rsidRPr="00E01E4C">
        <w:rPr>
          <w:i/>
          <w:lang w:val="en-US"/>
        </w:rPr>
        <w:t>J Food Prot</w:t>
      </w:r>
      <w:r w:rsidRPr="00E01E4C">
        <w:rPr>
          <w:lang w:val="en-US"/>
        </w:rPr>
        <w:t xml:space="preserve"> </w:t>
      </w:r>
      <w:r w:rsidRPr="00E01E4C">
        <w:rPr>
          <w:b/>
          <w:lang w:val="en-US"/>
        </w:rPr>
        <w:t>67</w:t>
      </w:r>
      <w:r w:rsidRPr="00E01E4C">
        <w:rPr>
          <w:lang w:val="en-US"/>
        </w:rPr>
        <w:t>: 2500-2514.</w:t>
      </w:r>
    </w:p>
    <w:p w14:paraId="19A39FEF" w14:textId="77777777" w:rsidR="00B03E22" w:rsidRPr="00E01E4C" w:rsidRDefault="00B03E22" w:rsidP="0080229C">
      <w:pPr>
        <w:pStyle w:val="EndNoteBibliography"/>
        <w:spacing w:after="0"/>
        <w:rPr>
          <w:lang w:val="en-US"/>
        </w:rPr>
      </w:pPr>
    </w:p>
    <w:p w14:paraId="2E61F252" w14:textId="07D6A85B" w:rsidR="0080229C" w:rsidRPr="00E01E4C" w:rsidRDefault="0080229C" w:rsidP="0080229C">
      <w:pPr>
        <w:pStyle w:val="EndNoteBibliography"/>
        <w:spacing w:after="0"/>
        <w:rPr>
          <w:lang w:val="en-US"/>
        </w:rPr>
      </w:pPr>
      <w:r w:rsidRPr="00E01E4C">
        <w:rPr>
          <w:lang w:val="en-US"/>
        </w:rPr>
        <w:t xml:space="preserve">Lassen SG, Ethelberg S, Björkman J, Jensen T, Sørensen G, Jensen AK, Müller L, Nielsen E &amp; Mølbak K (2016) Two listeria outbreaks caused by smoked fish consumption—using whole-genome sequencing for outbreak investigations. </w:t>
      </w:r>
      <w:r w:rsidRPr="00E01E4C">
        <w:rPr>
          <w:i/>
          <w:lang w:val="en-US"/>
        </w:rPr>
        <w:t>Clinical Microbiology and Infection</w:t>
      </w:r>
      <w:r w:rsidRPr="00E01E4C">
        <w:rPr>
          <w:lang w:val="en-US"/>
        </w:rPr>
        <w:t xml:space="preserve"> </w:t>
      </w:r>
      <w:r w:rsidRPr="00E01E4C">
        <w:rPr>
          <w:b/>
          <w:lang w:val="en-US"/>
        </w:rPr>
        <w:t>22</w:t>
      </w:r>
      <w:r w:rsidRPr="00E01E4C">
        <w:rPr>
          <w:lang w:val="en-US"/>
        </w:rPr>
        <w:t>: 620-624.</w:t>
      </w:r>
    </w:p>
    <w:p w14:paraId="510553AB" w14:textId="77777777" w:rsidR="00B03E22" w:rsidRPr="00E01E4C" w:rsidRDefault="00B03E22" w:rsidP="0080229C">
      <w:pPr>
        <w:pStyle w:val="EndNoteBibliography"/>
        <w:spacing w:after="0"/>
        <w:rPr>
          <w:lang w:val="en-US"/>
        </w:rPr>
      </w:pPr>
    </w:p>
    <w:p w14:paraId="6AA3829E" w14:textId="539B56CD" w:rsidR="0080229C" w:rsidRPr="00E01E4C" w:rsidRDefault="0080229C" w:rsidP="0080229C">
      <w:pPr>
        <w:pStyle w:val="EndNoteBibliography"/>
        <w:spacing w:after="0"/>
        <w:rPr>
          <w:lang w:val="en-US"/>
        </w:rPr>
      </w:pPr>
      <w:r w:rsidRPr="00E01E4C">
        <w:rPr>
          <w:lang w:val="en-US"/>
        </w:rPr>
        <w:t xml:space="preserve">Leclercq A, Clermont D, Bizet C, Grimont PA, Le Fleche-Mateos A, Roche SM, Buchrieser C, Cadet-Daniel V, Le Monnier A &amp; Lecuit M (2010) Listeria rocourtiae sp. nov. </w:t>
      </w:r>
      <w:r w:rsidRPr="00E01E4C">
        <w:rPr>
          <w:i/>
          <w:lang w:val="en-US"/>
        </w:rPr>
        <w:t>International journal of systematic and evolutionary microbiology</w:t>
      </w:r>
      <w:r w:rsidRPr="00E01E4C">
        <w:rPr>
          <w:lang w:val="en-US"/>
        </w:rPr>
        <w:t xml:space="preserve"> </w:t>
      </w:r>
      <w:r w:rsidRPr="00E01E4C">
        <w:rPr>
          <w:b/>
          <w:lang w:val="en-US"/>
        </w:rPr>
        <w:t>60</w:t>
      </w:r>
      <w:r w:rsidRPr="00E01E4C">
        <w:rPr>
          <w:lang w:val="en-US"/>
        </w:rPr>
        <w:t>: 2210-2214.</w:t>
      </w:r>
    </w:p>
    <w:p w14:paraId="095DE1B3" w14:textId="77777777" w:rsidR="00B03E22" w:rsidRPr="00E01E4C" w:rsidRDefault="00B03E22" w:rsidP="0080229C">
      <w:pPr>
        <w:pStyle w:val="EndNoteBibliography"/>
        <w:spacing w:after="0"/>
        <w:rPr>
          <w:lang w:val="en-US"/>
        </w:rPr>
      </w:pPr>
    </w:p>
    <w:p w14:paraId="28D89DCA" w14:textId="6047D126" w:rsidR="0080229C" w:rsidRPr="00E01E4C" w:rsidRDefault="0080229C" w:rsidP="0080229C">
      <w:pPr>
        <w:pStyle w:val="EndNoteBibliography"/>
        <w:spacing w:after="0"/>
        <w:rPr>
          <w:lang w:val="en-US"/>
        </w:rPr>
      </w:pPr>
      <w:r w:rsidRPr="00E01E4C">
        <w:rPr>
          <w:lang w:val="en-US"/>
        </w:rPr>
        <w:t xml:space="preserve">Lee B-H, Cole S, Badel-Berchoux S, Guillier L, Felix B, Krezdorn N, Hébraud M, Bernardi T, Sultan I &amp; Piveteau P (2019) Biofilm Formation of Listeria monocytogenes Strains Under Food Processing Environments and Pan-Genome-Wide Association Study. </w:t>
      </w:r>
      <w:r w:rsidRPr="00E01E4C">
        <w:rPr>
          <w:i/>
          <w:lang w:val="en-US"/>
        </w:rPr>
        <w:t>Frontiers in microbiology</w:t>
      </w:r>
      <w:r w:rsidRPr="00E01E4C">
        <w:rPr>
          <w:lang w:val="en-US"/>
        </w:rPr>
        <w:t xml:space="preserve"> </w:t>
      </w:r>
      <w:r w:rsidRPr="00E01E4C">
        <w:rPr>
          <w:b/>
          <w:lang w:val="en-US"/>
        </w:rPr>
        <w:t>10</w:t>
      </w:r>
      <w:r w:rsidRPr="00E01E4C">
        <w:rPr>
          <w:lang w:val="en-US"/>
        </w:rPr>
        <w:t>.</w:t>
      </w:r>
    </w:p>
    <w:p w14:paraId="3E2F8BC0" w14:textId="77777777" w:rsidR="00B03E22" w:rsidRPr="00E01E4C" w:rsidRDefault="00B03E22" w:rsidP="0080229C">
      <w:pPr>
        <w:pStyle w:val="EndNoteBibliography"/>
        <w:spacing w:after="0"/>
        <w:rPr>
          <w:lang w:val="en-US"/>
        </w:rPr>
      </w:pPr>
    </w:p>
    <w:p w14:paraId="3A80BC90" w14:textId="043DBA0F" w:rsidR="0080229C" w:rsidRPr="00E01E4C" w:rsidRDefault="0080229C" w:rsidP="0080229C">
      <w:pPr>
        <w:pStyle w:val="EndNoteBibliography"/>
        <w:spacing w:after="0"/>
        <w:rPr>
          <w:lang w:val="en-US"/>
        </w:rPr>
      </w:pPr>
      <w:r w:rsidRPr="00E01E4C">
        <w:rPr>
          <w:lang w:val="en-US"/>
        </w:rPr>
        <w:t xml:space="preserve">Leong D, NicAogáin K, Luque-Sastre L, McManamon O, Hunt K, Alvarez-Ordóñez A, Scollard J, Schmalenberger A, Fanning S &amp; O'Byrne C (2017) A 3-year multi-food study of the presence and persistence of Listeria monocytogenes in 54 small food businesses in Ireland. </w:t>
      </w:r>
      <w:r w:rsidRPr="00E01E4C">
        <w:rPr>
          <w:i/>
          <w:lang w:val="en-US"/>
        </w:rPr>
        <w:t>International Journal of Food Microbiology</w:t>
      </w:r>
      <w:r w:rsidRPr="00E01E4C">
        <w:rPr>
          <w:lang w:val="en-US"/>
        </w:rPr>
        <w:t xml:space="preserve"> </w:t>
      </w:r>
      <w:r w:rsidRPr="00E01E4C">
        <w:rPr>
          <w:b/>
          <w:lang w:val="en-US"/>
        </w:rPr>
        <w:t>249</w:t>
      </w:r>
      <w:r w:rsidRPr="00E01E4C">
        <w:rPr>
          <w:lang w:val="en-US"/>
        </w:rPr>
        <w:t>: 18-26.</w:t>
      </w:r>
    </w:p>
    <w:p w14:paraId="4F178EAA" w14:textId="77777777" w:rsidR="00B03E22" w:rsidRPr="00E01E4C" w:rsidRDefault="00B03E22" w:rsidP="0080229C">
      <w:pPr>
        <w:pStyle w:val="EndNoteBibliography"/>
        <w:spacing w:after="0"/>
        <w:rPr>
          <w:lang w:val="en-US"/>
        </w:rPr>
      </w:pPr>
    </w:p>
    <w:p w14:paraId="512437B3" w14:textId="30D0F135" w:rsidR="0080229C" w:rsidRPr="00E01E4C" w:rsidRDefault="0080229C" w:rsidP="0080229C">
      <w:pPr>
        <w:pStyle w:val="EndNoteBibliography"/>
        <w:spacing w:after="0"/>
        <w:rPr>
          <w:lang w:val="en-US"/>
        </w:rPr>
      </w:pPr>
      <w:r w:rsidRPr="00B03E22">
        <w:rPr>
          <w:lang w:val="en-US"/>
        </w:rPr>
        <w:t xml:space="preserve">Liu D (2008) Preparation of Listeria monocytogenes specimens for molecular detection and identification. </w:t>
      </w:r>
      <w:r w:rsidRPr="00E01E4C">
        <w:rPr>
          <w:i/>
          <w:lang w:val="en-US"/>
        </w:rPr>
        <w:t>Int J Food Microbiol</w:t>
      </w:r>
      <w:r w:rsidRPr="00E01E4C">
        <w:rPr>
          <w:lang w:val="en-US"/>
        </w:rPr>
        <w:t xml:space="preserve"> </w:t>
      </w:r>
      <w:r w:rsidRPr="00E01E4C">
        <w:rPr>
          <w:b/>
          <w:lang w:val="en-US"/>
        </w:rPr>
        <w:t>122</w:t>
      </w:r>
      <w:r w:rsidRPr="00E01E4C">
        <w:rPr>
          <w:lang w:val="en-US"/>
        </w:rPr>
        <w:t>: 229-242.</w:t>
      </w:r>
    </w:p>
    <w:p w14:paraId="5AC258FE" w14:textId="77777777" w:rsidR="00B03E22" w:rsidRPr="00E01E4C" w:rsidRDefault="00B03E22" w:rsidP="0080229C">
      <w:pPr>
        <w:pStyle w:val="EndNoteBibliography"/>
        <w:spacing w:after="0"/>
        <w:rPr>
          <w:lang w:val="en-US"/>
        </w:rPr>
      </w:pPr>
    </w:p>
    <w:p w14:paraId="4E07B947" w14:textId="5EBF7D9B" w:rsidR="0080229C" w:rsidRPr="00E01E4C" w:rsidRDefault="0080229C" w:rsidP="0080229C">
      <w:pPr>
        <w:pStyle w:val="EndNoteBibliography"/>
        <w:spacing w:after="0"/>
        <w:rPr>
          <w:lang w:val="en-US"/>
        </w:rPr>
      </w:pPr>
      <w:r w:rsidRPr="00E01E4C">
        <w:rPr>
          <w:lang w:val="en-US"/>
        </w:rPr>
        <w:t xml:space="preserve">Matle I, Mafuna T, Madoroba E, Mbatha KR, Magwedere K &amp; Pierneef R (2020) Population Structure of Non-ST6 Listeria monocytogenes Isolated in the Red Meat and Poultry Value Chain in South Africa. </w:t>
      </w:r>
      <w:r w:rsidRPr="00E01E4C">
        <w:rPr>
          <w:i/>
          <w:lang w:val="en-US"/>
        </w:rPr>
        <w:t>Microorganisms</w:t>
      </w:r>
      <w:r w:rsidRPr="00E01E4C">
        <w:rPr>
          <w:lang w:val="en-US"/>
        </w:rPr>
        <w:t xml:space="preserve"> </w:t>
      </w:r>
      <w:r w:rsidRPr="00E01E4C">
        <w:rPr>
          <w:b/>
          <w:lang w:val="en-US"/>
        </w:rPr>
        <w:t>8</w:t>
      </w:r>
      <w:r w:rsidRPr="00E01E4C">
        <w:rPr>
          <w:lang w:val="en-US"/>
        </w:rPr>
        <w:t>: 1152.</w:t>
      </w:r>
    </w:p>
    <w:p w14:paraId="7342981E" w14:textId="77777777" w:rsidR="00B03E22" w:rsidRPr="00E01E4C" w:rsidRDefault="00B03E22" w:rsidP="0080229C">
      <w:pPr>
        <w:pStyle w:val="EndNoteBibliography"/>
        <w:spacing w:after="0"/>
        <w:rPr>
          <w:lang w:val="en-US"/>
        </w:rPr>
      </w:pPr>
    </w:p>
    <w:p w14:paraId="45323F5D" w14:textId="39F9FC7E" w:rsidR="0080229C" w:rsidRPr="00E01E4C" w:rsidRDefault="0080229C" w:rsidP="0080229C">
      <w:pPr>
        <w:pStyle w:val="EndNoteBibliography"/>
        <w:spacing w:after="0"/>
        <w:rPr>
          <w:lang w:val="en-US"/>
        </w:rPr>
      </w:pPr>
      <w:r w:rsidRPr="00E01E4C">
        <w:rPr>
          <w:lang w:val="en-US"/>
        </w:rPr>
        <w:t xml:space="preserve">Maury MM, Tsai Y-H, Charlier C, Touchon M, Chenal-Francisque V, Leclercq A, Criscuolo A, Gaultier C, Roussel S &amp; Brisabois A (2016) Uncovering Listeria monocytogenes hypervirulence by harnessing its biodiversity. </w:t>
      </w:r>
      <w:r w:rsidRPr="00E01E4C">
        <w:rPr>
          <w:i/>
          <w:lang w:val="en-US"/>
        </w:rPr>
        <w:t>Nature genetics</w:t>
      </w:r>
      <w:r w:rsidRPr="00E01E4C">
        <w:rPr>
          <w:lang w:val="en-US"/>
        </w:rPr>
        <w:t xml:space="preserve"> </w:t>
      </w:r>
      <w:r w:rsidRPr="00E01E4C">
        <w:rPr>
          <w:b/>
          <w:lang w:val="en-US"/>
        </w:rPr>
        <w:t>48</w:t>
      </w:r>
      <w:r w:rsidRPr="00E01E4C">
        <w:rPr>
          <w:lang w:val="en-US"/>
        </w:rPr>
        <w:t>: 308.</w:t>
      </w:r>
    </w:p>
    <w:p w14:paraId="46584A89" w14:textId="77777777" w:rsidR="00B03E22" w:rsidRPr="00E01E4C" w:rsidRDefault="00B03E22" w:rsidP="0080229C">
      <w:pPr>
        <w:pStyle w:val="EndNoteBibliography"/>
        <w:spacing w:after="0"/>
        <w:rPr>
          <w:lang w:val="en-US"/>
        </w:rPr>
      </w:pPr>
    </w:p>
    <w:p w14:paraId="309715EF" w14:textId="00684408" w:rsidR="0080229C" w:rsidRPr="00E01E4C" w:rsidRDefault="0080229C" w:rsidP="0080229C">
      <w:pPr>
        <w:pStyle w:val="EndNoteBibliography"/>
        <w:spacing w:after="0"/>
        <w:rPr>
          <w:lang w:val="en-US"/>
        </w:rPr>
      </w:pPr>
      <w:r w:rsidRPr="00B03E22">
        <w:rPr>
          <w:lang w:val="en-US"/>
        </w:rPr>
        <w:t xml:space="preserve">Michelet L, Delannoy S, Devillers E, Umhang G, Aspan A, Juremalm M, Chirico J, van der Wal FJ, Sprong H &amp; Boye Pihl TP (2014) High-throughput screening of tick-borne pathogens in Europe. </w:t>
      </w:r>
      <w:r w:rsidRPr="00E01E4C">
        <w:rPr>
          <w:i/>
          <w:lang w:val="en-US"/>
        </w:rPr>
        <w:t>Frontiers in cellular and infection microbiology</w:t>
      </w:r>
      <w:r w:rsidRPr="00E01E4C">
        <w:rPr>
          <w:lang w:val="en-US"/>
        </w:rPr>
        <w:t xml:space="preserve"> </w:t>
      </w:r>
      <w:r w:rsidRPr="00E01E4C">
        <w:rPr>
          <w:b/>
          <w:lang w:val="en-US"/>
        </w:rPr>
        <w:t>4</w:t>
      </w:r>
      <w:r w:rsidRPr="00E01E4C">
        <w:rPr>
          <w:lang w:val="en-US"/>
        </w:rPr>
        <w:t>: 103.</w:t>
      </w:r>
    </w:p>
    <w:p w14:paraId="3B06A9E5" w14:textId="77777777" w:rsidR="00B03E22" w:rsidRPr="00E01E4C" w:rsidRDefault="00B03E22" w:rsidP="0080229C">
      <w:pPr>
        <w:pStyle w:val="EndNoteBibliography"/>
        <w:spacing w:after="0"/>
        <w:rPr>
          <w:lang w:val="en-US"/>
        </w:rPr>
      </w:pPr>
    </w:p>
    <w:p w14:paraId="60E87F7D" w14:textId="6D6B0BC8" w:rsidR="0080229C" w:rsidRPr="00E01E4C" w:rsidRDefault="0080229C" w:rsidP="0080229C">
      <w:pPr>
        <w:pStyle w:val="EndNoteBibliography"/>
        <w:spacing w:after="0"/>
        <w:rPr>
          <w:lang w:val="en-US"/>
        </w:rPr>
      </w:pPr>
      <w:r w:rsidRPr="00B03E22">
        <w:rPr>
          <w:lang w:val="en-US"/>
        </w:rPr>
        <w:t>Midelet-Bourdin G, Leleu G &amp; Malle P (2007) Evaluation of the international reference methods NF EN ISO 11290-1 and 11290-2 and an in-house method for the isolation of</w:t>
      </w:r>
      <w:r w:rsidRPr="00B03E22">
        <w:rPr>
          <w:i/>
          <w:lang w:val="en-US"/>
        </w:rPr>
        <w:t xml:space="preserve"> Listeria monocytogenes</w:t>
      </w:r>
      <w:r w:rsidRPr="00B03E22">
        <w:rPr>
          <w:lang w:val="en-US"/>
        </w:rPr>
        <w:t xml:space="preserve"> from retail seafood products in france. </w:t>
      </w:r>
      <w:r w:rsidRPr="00E01E4C">
        <w:rPr>
          <w:i/>
          <w:lang w:val="en-US"/>
        </w:rPr>
        <w:t>J Food Prot</w:t>
      </w:r>
      <w:r w:rsidRPr="00E01E4C">
        <w:rPr>
          <w:lang w:val="en-US"/>
        </w:rPr>
        <w:t xml:space="preserve"> </w:t>
      </w:r>
      <w:r w:rsidRPr="00E01E4C">
        <w:rPr>
          <w:b/>
          <w:lang w:val="en-US"/>
        </w:rPr>
        <w:t>70</w:t>
      </w:r>
      <w:r w:rsidRPr="00E01E4C">
        <w:rPr>
          <w:lang w:val="en-US"/>
        </w:rPr>
        <w:t>: 891-900.</w:t>
      </w:r>
    </w:p>
    <w:p w14:paraId="3EAFF41D" w14:textId="77777777" w:rsidR="00B03E22" w:rsidRPr="00E01E4C" w:rsidRDefault="00B03E22" w:rsidP="0080229C">
      <w:pPr>
        <w:pStyle w:val="EndNoteBibliography"/>
        <w:spacing w:after="0"/>
        <w:rPr>
          <w:lang w:val="en-US"/>
        </w:rPr>
      </w:pPr>
    </w:p>
    <w:p w14:paraId="48D04E79" w14:textId="1B73B2C1" w:rsidR="0080229C" w:rsidRPr="00E01E4C" w:rsidRDefault="0080229C" w:rsidP="0080229C">
      <w:pPr>
        <w:pStyle w:val="EndNoteBibliography"/>
        <w:spacing w:after="0"/>
        <w:rPr>
          <w:lang w:val="en-US"/>
        </w:rPr>
      </w:pPr>
      <w:r w:rsidRPr="00E01E4C">
        <w:rPr>
          <w:lang w:val="en-US"/>
        </w:rPr>
        <w:t xml:space="preserve">Nielsen EM, Björkman JT, Kiil K, Grant K, Dallman T, Painset A, Amar C, Roussel S, Guillier L &amp; Félix B (2017) Closing gaps for performing a risk assessment on Listeria monocytogenes in ready‐to‐eat (RTE) foods: activity 3, the comparison of isolates from different compartments along the food chain, and from humans using whole genome sequencing (WGS) analysis. </w:t>
      </w:r>
      <w:r w:rsidRPr="00E01E4C">
        <w:rPr>
          <w:i/>
          <w:lang w:val="en-US"/>
        </w:rPr>
        <w:t>EFSA Supporting Publications</w:t>
      </w:r>
      <w:r w:rsidRPr="00E01E4C">
        <w:rPr>
          <w:lang w:val="en-US"/>
        </w:rPr>
        <w:t xml:space="preserve"> </w:t>
      </w:r>
      <w:r w:rsidRPr="00E01E4C">
        <w:rPr>
          <w:b/>
          <w:lang w:val="en-US"/>
        </w:rPr>
        <w:t>14</w:t>
      </w:r>
      <w:r w:rsidRPr="00E01E4C">
        <w:rPr>
          <w:lang w:val="en-US"/>
        </w:rPr>
        <w:t>: 1151E.</w:t>
      </w:r>
    </w:p>
    <w:p w14:paraId="409D4B8A" w14:textId="77777777" w:rsidR="00B03E22" w:rsidRPr="00E01E4C" w:rsidRDefault="00B03E22" w:rsidP="0080229C">
      <w:pPr>
        <w:pStyle w:val="EndNoteBibliography"/>
        <w:spacing w:after="0"/>
        <w:rPr>
          <w:lang w:val="en-US"/>
        </w:rPr>
      </w:pPr>
    </w:p>
    <w:p w14:paraId="3983CAC4" w14:textId="1E44E9FC" w:rsidR="0080229C" w:rsidRDefault="0080229C" w:rsidP="0080229C">
      <w:pPr>
        <w:pStyle w:val="EndNoteBibliography"/>
        <w:spacing w:after="0"/>
      </w:pPr>
      <w:r w:rsidRPr="00E01E4C">
        <w:rPr>
          <w:lang w:val="en-US"/>
        </w:rPr>
        <w:t xml:space="preserve">Palma F, Brauge T, Radomski N, Mallet L, Felten A, Mistou M-Y, Brisabois A, Guillier L &amp; Midelet-Bourdin G (2020) Dynamics of mobile genetic elements of Listeria monocytogenes persisting in ready-to-eat seafood processing plants in France. </w:t>
      </w:r>
      <w:r w:rsidRPr="0080229C">
        <w:rPr>
          <w:i/>
        </w:rPr>
        <w:t>BMC Genomics</w:t>
      </w:r>
      <w:r w:rsidRPr="0080229C">
        <w:t xml:space="preserve"> </w:t>
      </w:r>
      <w:r w:rsidRPr="0080229C">
        <w:rPr>
          <w:b/>
        </w:rPr>
        <w:t>21</w:t>
      </w:r>
      <w:r w:rsidRPr="0080229C">
        <w:t>: 130.</w:t>
      </w:r>
    </w:p>
    <w:p w14:paraId="54D12F47" w14:textId="77777777" w:rsidR="00B03E22" w:rsidRPr="0080229C" w:rsidRDefault="00B03E22" w:rsidP="0080229C">
      <w:pPr>
        <w:pStyle w:val="EndNoteBibliography"/>
        <w:spacing w:after="0"/>
      </w:pPr>
    </w:p>
    <w:p w14:paraId="68686750" w14:textId="34F98AC0" w:rsidR="0080229C" w:rsidRDefault="0080229C" w:rsidP="0080229C">
      <w:pPr>
        <w:pStyle w:val="EndNoteBibliography"/>
        <w:spacing w:after="0"/>
      </w:pPr>
      <w:r w:rsidRPr="0080229C">
        <w:t>Pasteur I (2018) Rapports d'activité du CNR des Listeria. p.^pp.</w:t>
      </w:r>
    </w:p>
    <w:p w14:paraId="644CB3F3" w14:textId="77777777" w:rsidR="00B03E22" w:rsidRPr="0080229C" w:rsidRDefault="00B03E22" w:rsidP="0080229C">
      <w:pPr>
        <w:pStyle w:val="EndNoteBibliography"/>
        <w:spacing w:after="0"/>
      </w:pPr>
    </w:p>
    <w:p w14:paraId="2BD61AD6" w14:textId="25702620" w:rsidR="0080229C" w:rsidRPr="00E01E4C" w:rsidRDefault="0080229C" w:rsidP="0080229C">
      <w:pPr>
        <w:pStyle w:val="EndNoteBibliography"/>
        <w:spacing w:after="0"/>
        <w:rPr>
          <w:lang w:val="en-US"/>
        </w:rPr>
      </w:pPr>
      <w:r w:rsidRPr="0080229C">
        <w:t xml:space="preserve">Ragon M, Wirth T, Hollandt F, Lavenir R, Lecuit M, Le Monnier A &amp; Brisse S (2008) A new perspective on Listeria monocytogenes evolution. </w:t>
      </w:r>
      <w:r w:rsidRPr="00E01E4C">
        <w:rPr>
          <w:i/>
          <w:lang w:val="en-US"/>
        </w:rPr>
        <w:t>PLoS Pathog</w:t>
      </w:r>
      <w:r w:rsidRPr="00E01E4C">
        <w:rPr>
          <w:lang w:val="en-US"/>
        </w:rPr>
        <w:t xml:space="preserve"> </w:t>
      </w:r>
      <w:r w:rsidRPr="00E01E4C">
        <w:rPr>
          <w:b/>
          <w:lang w:val="en-US"/>
        </w:rPr>
        <w:t>4</w:t>
      </w:r>
      <w:r w:rsidRPr="00E01E4C">
        <w:rPr>
          <w:lang w:val="en-US"/>
        </w:rPr>
        <w:t>: e1000146.</w:t>
      </w:r>
    </w:p>
    <w:p w14:paraId="5A7372DD" w14:textId="77777777" w:rsidR="00B03E22" w:rsidRPr="00E01E4C" w:rsidRDefault="00B03E22" w:rsidP="0080229C">
      <w:pPr>
        <w:pStyle w:val="EndNoteBibliography"/>
        <w:spacing w:after="0"/>
        <w:rPr>
          <w:lang w:val="en-US"/>
        </w:rPr>
      </w:pPr>
    </w:p>
    <w:p w14:paraId="03C05B8D" w14:textId="56CAF603" w:rsidR="0080229C" w:rsidRPr="00E01E4C" w:rsidRDefault="0080229C" w:rsidP="0080229C">
      <w:pPr>
        <w:pStyle w:val="EndNoteBibliography"/>
        <w:spacing w:after="0"/>
        <w:rPr>
          <w:lang w:val="en-US"/>
        </w:rPr>
      </w:pPr>
      <w:r w:rsidRPr="00E01E4C">
        <w:rPr>
          <w:lang w:val="en-US"/>
        </w:rPr>
        <w:t>Rasff (2020) Notification details - 2020.5472. Listeria monocytogenes (68000 CFU/g) in chilled smoked trout fillet from Denmark p.^pp.</w:t>
      </w:r>
    </w:p>
    <w:p w14:paraId="434CB006" w14:textId="77777777" w:rsidR="00B03E22" w:rsidRPr="00E01E4C" w:rsidRDefault="00B03E22" w:rsidP="0080229C">
      <w:pPr>
        <w:pStyle w:val="EndNoteBibliography"/>
        <w:spacing w:after="0"/>
        <w:rPr>
          <w:lang w:val="en-US"/>
        </w:rPr>
      </w:pPr>
    </w:p>
    <w:p w14:paraId="1ED492AC" w14:textId="67775CDF" w:rsidR="0080229C" w:rsidRPr="00E01E4C" w:rsidRDefault="0080229C" w:rsidP="0080229C">
      <w:pPr>
        <w:pStyle w:val="EndNoteBibliography"/>
        <w:spacing w:after="0"/>
        <w:rPr>
          <w:lang w:val="en-US"/>
        </w:rPr>
      </w:pPr>
      <w:r w:rsidRPr="00E01E4C">
        <w:rPr>
          <w:lang w:val="en-US"/>
        </w:rPr>
        <w:t xml:space="preserve">Rocourt J, Jacquet C &amp; Reilly A (2000) Epidemiology of human listeriosis and seafoods. </w:t>
      </w:r>
      <w:r w:rsidRPr="00E01E4C">
        <w:rPr>
          <w:i/>
          <w:lang w:val="en-US"/>
        </w:rPr>
        <w:t>Int J Food Microbiol</w:t>
      </w:r>
      <w:r w:rsidRPr="00E01E4C">
        <w:rPr>
          <w:lang w:val="en-US"/>
        </w:rPr>
        <w:t xml:space="preserve"> </w:t>
      </w:r>
      <w:r w:rsidRPr="00E01E4C">
        <w:rPr>
          <w:b/>
          <w:lang w:val="en-US"/>
        </w:rPr>
        <w:t>62</w:t>
      </w:r>
      <w:r w:rsidRPr="00E01E4C">
        <w:rPr>
          <w:lang w:val="en-US"/>
        </w:rPr>
        <w:t>: 197-209.</w:t>
      </w:r>
    </w:p>
    <w:p w14:paraId="6932C827" w14:textId="77777777" w:rsidR="00B03E22" w:rsidRPr="00E01E4C" w:rsidRDefault="00B03E22" w:rsidP="0080229C">
      <w:pPr>
        <w:pStyle w:val="EndNoteBibliography"/>
        <w:spacing w:after="0"/>
        <w:rPr>
          <w:lang w:val="en-US"/>
        </w:rPr>
      </w:pPr>
    </w:p>
    <w:p w14:paraId="67391E3C" w14:textId="7A878332" w:rsidR="0080229C" w:rsidRPr="00E01E4C" w:rsidRDefault="0080229C" w:rsidP="0080229C">
      <w:pPr>
        <w:pStyle w:val="EndNoteBibliography"/>
        <w:spacing w:after="0"/>
        <w:rPr>
          <w:lang w:val="en-US"/>
        </w:rPr>
      </w:pPr>
      <w:r w:rsidRPr="00E01E4C">
        <w:rPr>
          <w:lang w:val="en-US"/>
        </w:rPr>
        <w:t>Rodríguez-Lázaro D, Lombard B, Smith H</w:t>
      </w:r>
      <w:r w:rsidRPr="00E01E4C">
        <w:rPr>
          <w:i/>
          <w:lang w:val="en-US"/>
        </w:rPr>
        <w:t>, et al.</w:t>
      </w:r>
      <w:r w:rsidRPr="00E01E4C">
        <w:rPr>
          <w:lang w:val="en-US"/>
        </w:rPr>
        <w:t xml:space="preserve"> (2007) Trends in analytical methodology in food safety and quality: monitoring microorganisms and genetically modified organisms. </w:t>
      </w:r>
      <w:r w:rsidRPr="00E01E4C">
        <w:rPr>
          <w:i/>
          <w:lang w:val="en-US"/>
        </w:rPr>
        <w:t>Trends in Food Science and Technology</w:t>
      </w:r>
      <w:r w:rsidRPr="00E01E4C">
        <w:rPr>
          <w:lang w:val="en-US"/>
        </w:rPr>
        <w:t xml:space="preserve"> </w:t>
      </w:r>
      <w:r w:rsidRPr="00E01E4C">
        <w:rPr>
          <w:b/>
          <w:lang w:val="en-US"/>
        </w:rPr>
        <w:t>18</w:t>
      </w:r>
      <w:r w:rsidRPr="00E01E4C">
        <w:rPr>
          <w:lang w:val="en-US"/>
        </w:rPr>
        <w:t>: 306-319.</w:t>
      </w:r>
    </w:p>
    <w:p w14:paraId="3BC1124B" w14:textId="77777777" w:rsidR="00B03E22" w:rsidRPr="00E01E4C" w:rsidRDefault="00B03E22" w:rsidP="0080229C">
      <w:pPr>
        <w:pStyle w:val="EndNoteBibliography"/>
        <w:spacing w:after="0"/>
        <w:rPr>
          <w:lang w:val="en-US"/>
        </w:rPr>
      </w:pPr>
    </w:p>
    <w:p w14:paraId="79FFCFD2" w14:textId="4120178D" w:rsidR="0080229C" w:rsidRPr="00E01E4C" w:rsidRDefault="0080229C" w:rsidP="0080229C">
      <w:pPr>
        <w:pStyle w:val="EndNoteBibliography"/>
        <w:spacing w:after="0"/>
        <w:rPr>
          <w:lang w:val="en-US"/>
        </w:rPr>
      </w:pPr>
      <w:r w:rsidRPr="00B03E22">
        <w:rPr>
          <w:lang w:val="en-US"/>
        </w:rPr>
        <w:t xml:space="preserve">Roussel S, Michelon D, Lombard B &amp; Lailler R (2014) Molecular typing of Listeria monocytogenes strains isolated from food, feed and animals: state of play and standard operating procedures for pulsed field gel electrophoresis (PFGE) typing, profile interpretation and curation. </w:t>
      </w:r>
      <w:r w:rsidRPr="00E01E4C">
        <w:rPr>
          <w:i/>
          <w:lang w:val="en-US"/>
        </w:rPr>
        <w:t>EFSA Supporting Publications</w:t>
      </w:r>
      <w:r w:rsidRPr="00E01E4C">
        <w:rPr>
          <w:lang w:val="en-US"/>
        </w:rPr>
        <w:t xml:space="preserve"> </w:t>
      </w:r>
      <w:r w:rsidRPr="00E01E4C">
        <w:rPr>
          <w:b/>
          <w:lang w:val="en-US"/>
        </w:rPr>
        <w:t>11</w:t>
      </w:r>
      <w:r w:rsidRPr="00E01E4C">
        <w:rPr>
          <w:lang w:val="en-US"/>
        </w:rPr>
        <w:t>: 702E.</w:t>
      </w:r>
    </w:p>
    <w:p w14:paraId="07345B29" w14:textId="77777777" w:rsidR="00B03E22" w:rsidRPr="00E01E4C" w:rsidRDefault="00B03E22" w:rsidP="0080229C">
      <w:pPr>
        <w:pStyle w:val="EndNoteBibliography"/>
        <w:spacing w:after="0"/>
        <w:rPr>
          <w:lang w:val="en-US"/>
        </w:rPr>
      </w:pPr>
    </w:p>
    <w:p w14:paraId="0413FE59" w14:textId="179F830D" w:rsidR="0080229C" w:rsidRPr="00E01E4C" w:rsidRDefault="0080229C" w:rsidP="0080229C">
      <w:pPr>
        <w:pStyle w:val="EndNoteBibliography"/>
        <w:spacing w:after="0"/>
        <w:rPr>
          <w:lang w:val="en-US"/>
        </w:rPr>
      </w:pPr>
      <w:r w:rsidRPr="00E01E4C">
        <w:rPr>
          <w:lang w:val="en-US"/>
        </w:rPr>
        <w:t xml:space="preserve">Roussel S, Michelon D, Lombard B &amp; Lailler R (2014) EXTERNAL SCIENTIFIC REPORT: Molecular typing of Listeria monocytogenes strains isolated from food, feed and animals: state of play and standard operating procedures for pulsed field gel electrophoresis (PFGE) typing, profile interpretation and curation. </w:t>
      </w:r>
      <w:r w:rsidRPr="00E01E4C">
        <w:rPr>
          <w:i/>
          <w:lang w:val="en-US"/>
        </w:rPr>
        <w:t>EFSA Supporting publication</w:t>
      </w:r>
      <w:r w:rsidRPr="00E01E4C">
        <w:rPr>
          <w:lang w:val="en-US"/>
        </w:rPr>
        <w:t xml:space="preserve"> </w:t>
      </w:r>
      <w:r w:rsidRPr="00E01E4C">
        <w:rPr>
          <w:b/>
          <w:lang w:val="en-US"/>
        </w:rPr>
        <w:t>EN-702</w:t>
      </w:r>
      <w:r w:rsidRPr="00E01E4C">
        <w:rPr>
          <w:lang w:val="en-US"/>
        </w:rPr>
        <w:t>: 88pp.</w:t>
      </w:r>
    </w:p>
    <w:p w14:paraId="5D733F38" w14:textId="77777777" w:rsidR="00B03E22" w:rsidRPr="00E01E4C" w:rsidRDefault="00B03E22" w:rsidP="0080229C">
      <w:pPr>
        <w:pStyle w:val="EndNoteBibliography"/>
        <w:spacing w:after="0"/>
        <w:rPr>
          <w:lang w:val="en-US"/>
        </w:rPr>
      </w:pPr>
    </w:p>
    <w:p w14:paraId="220A8960" w14:textId="35D83F7C" w:rsidR="0080229C" w:rsidRPr="00E01E4C" w:rsidRDefault="0080229C" w:rsidP="0080229C">
      <w:pPr>
        <w:pStyle w:val="EndNoteBibliography"/>
        <w:spacing w:after="0"/>
        <w:rPr>
          <w:lang w:val="en-US"/>
        </w:rPr>
      </w:pPr>
      <w:r w:rsidRPr="00E01E4C">
        <w:rPr>
          <w:lang w:val="en-US"/>
        </w:rPr>
        <w:t xml:space="preserve">Salcedo C, Arreaza L, Alcala B, De La Fuente L &amp; Vazquez J (2003) Development of a multilocus sequence typing method for analysis of Listeria monocytogenes clones. </w:t>
      </w:r>
      <w:r w:rsidRPr="00E01E4C">
        <w:rPr>
          <w:i/>
          <w:lang w:val="en-US"/>
        </w:rPr>
        <w:t>Journal of clinical microbiology</w:t>
      </w:r>
      <w:r w:rsidRPr="00E01E4C">
        <w:rPr>
          <w:lang w:val="en-US"/>
        </w:rPr>
        <w:t xml:space="preserve"> </w:t>
      </w:r>
      <w:r w:rsidRPr="00E01E4C">
        <w:rPr>
          <w:b/>
          <w:lang w:val="en-US"/>
        </w:rPr>
        <w:t>41</w:t>
      </w:r>
      <w:r w:rsidRPr="00E01E4C">
        <w:rPr>
          <w:lang w:val="en-US"/>
        </w:rPr>
        <w:t>: 757-762.</w:t>
      </w:r>
    </w:p>
    <w:p w14:paraId="44084DB1" w14:textId="77777777" w:rsidR="00B03E22" w:rsidRPr="00E01E4C" w:rsidRDefault="00B03E22" w:rsidP="0080229C">
      <w:pPr>
        <w:pStyle w:val="EndNoteBibliography"/>
        <w:spacing w:after="0"/>
        <w:rPr>
          <w:lang w:val="en-US"/>
        </w:rPr>
      </w:pPr>
    </w:p>
    <w:p w14:paraId="03A19B5B" w14:textId="314206A7" w:rsidR="0080229C" w:rsidRPr="00E01E4C" w:rsidRDefault="0080229C" w:rsidP="0080229C">
      <w:pPr>
        <w:pStyle w:val="EndNoteBibliography"/>
        <w:spacing w:after="0"/>
        <w:rPr>
          <w:lang w:val="en-US"/>
        </w:rPr>
      </w:pPr>
      <w:r w:rsidRPr="00E01E4C">
        <w:rPr>
          <w:lang w:val="en-US"/>
        </w:rPr>
        <w:t xml:space="preserve">Scallan E, Griffin PM, Angulo FJ, Tauxe RV &amp; Hoekstra RM (2011) Foodborne illness acquired in the United states-Unspecified agents. </w:t>
      </w:r>
      <w:r w:rsidRPr="00E01E4C">
        <w:rPr>
          <w:i/>
          <w:lang w:val="en-US"/>
        </w:rPr>
        <w:t>Emerg Infect Dis</w:t>
      </w:r>
      <w:r w:rsidRPr="00E01E4C">
        <w:rPr>
          <w:lang w:val="en-US"/>
        </w:rPr>
        <w:t xml:space="preserve"> </w:t>
      </w:r>
      <w:r w:rsidRPr="00E01E4C">
        <w:rPr>
          <w:b/>
          <w:lang w:val="en-US"/>
        </w:rPr>
        <w:t>17</w:t>
      </w:r>
      <w:r w:rsidRPr="00E01E4C">
        <w:rPr>
          <w:lang w:val="en-US"/>
        </w:rPr>
        <w:t>: 16-22.</w:t>
      </w:r>
    </w:p>
    <w:p w14:paraId="4D0606FA" w14:textId="77777777" w:rsidR="00B03E22" w:rsidRPr="00E01E4C" w:rsidRDefault="00B03E22" w:rsidP="0080229C">
      <w:pPr>
        <w:pStyle w:val="EndNoteBibliography"/>
        <w:spacing w:after="0"/>
        <w:rPr>
          <w:lang w:val="en-US"/>
        </w:rPr>
      </w:pPr>
    </w:p>
    <w:p w14:paraId="2838E7EE" w14:textId="454758A4" w:rsidR="0080229C" w:rsidRPr="00E01E4C" w:rsidRDefault="0080229C" w:rsidP="0080229C">
      <w:pPr>
        <w:pStyle w:val="EndNoteBibliography"/>
        <w:spacing w:after="0"/>
        <w:rPr>
          <w:lang w:val="en-US"/>
        </w:rPr>
      </w:pPr>
      <w:r w:rsidRPr="00B03E22">
        <w:rPr>
          <w:lang w:val="en-US"/>
        </w:rPr>
        <w:t xml:space="preserve">Scallan E, Hoekstra RM, Angulo FJ, Tauxe RV, Widdowson MA, Roy SL, Jones JL &amp; Griffin PM (2011) Foodborne illness acquired in the United States-Major pathogens. </w:t>
      </w:r>
      <w:r w:rsidRPr="00E01E4C">
        <w:rPr>
          <w:i/>
          <w:lang w:val="en-US"/>
        </w:rPr>
        <w:t>Emerg Infect Dis</w:t>
      </w:r>
      <w:r w:rsidRPr="00E01E4C">
        <w:rPr>
          <w:lang w:val="en-US"/>
        </w:rPr>
        <w:t xml:space="preserve"> </w:t>
      </w:r>
      <w:r w:rsidRPr="00E01E4C">
        <w:rPr>
          <w:b/>
          <w:lang w:val="en-US"/>
        </w:rPr>
        <w:t>17</w:t>
      </w:r>
      <w:r w:rsidRPr="00E01E4C">
        <w:rPr>
          <w:lang w:val="en-US"/>
        </w:rPr>
        <w:t>: 7-15.</w:t>
      </w:r>
    </w:p>
    <w:p w14:paraId="5D205694" w14:textId="77777777" w:rsidR="00B03E22" w:rsidRPr="00E01E4C" w:rsidRDefault="00B03E22" w:rsidP="0080229C">
      <w:pPr>
        <w:pStyle w:val="EndNoteBibliography"/>
        <w:spacing w:after="0"/>
        <w:rPr>
          <w:lang w:val="en-US"/>
        </w:rPr>
      </w:pPr>
    </w:p>
    <w:p w14:paraId="4476C26A" w14:textId="3201709A" w:rsidR="0080229C" w:rsidRPr="00E01E4C" w:rsidRDefault="0080229C" w:rsidP="0080229C">
      <w:pPr>
        <w:pStyle w:val="EndNoteBibliography"/>
        <w:spacing w:after="0"/>
        <w:rPr>
          <w:lang w:val="en-US"/>
        </w:rPr>
      </w:pPr>
      <w:r w:rsidRPr="00B03E22">
        <w:rPr>
          <w:lang w:val="en-US"/>
        </w:rPr>
        <w:lastRenderedPageBreak/>
        <w:t xml:space="preserve">Scharff RL (2012) Economic burden from health losses due to foodborne illness in the united states. </w:t>
      </w:r>
      <w:r w:rsidRPr="00E01E4C">
        <w:rPr>
          <w:i/>
          <w:lang w:val="en-US"/>
        </w:rPr>
        <w:t>J Food Prot</w:t>
      </w:r>
      <w:r w:rsidRPr="00E01E4C">
        <w:rPr>
          <w:lang w:val="en-US"/>
        </w:rPr>
        <w:t xml:space="preserve"> </w:t>
      </w:r>
      <w:r w:rsidRPr="00E01E4C">
        <w:rPr>
          <w:b/>
          <w:lang w:val="en-US"/>
        </w:rPr>
        <w:t>75</w:t>
      </w:r>
      <w:r w:rsidRPr="00E01E4C">
        <w:rPr>
          <w:lang w:val="en-US"/>
        </w:rPr>
        <w:t>: 123-131.</w:t>
      </w:r>
    </w:p>
    <w:p w14:paraId="7C499145" w14:textId="77777777" w:rsidR="00B03E22" w:rsidRPr="00E01E4C" w:rsidRDefault="00B03E22" w:rsidP="0080229C">
      <w:pPr>
        <w:pStyle w:val="EndNoteBibliography"/>
        <w:spacing w:after="0"/>
        <w:rPr>
          <w:lang w:val="en-US"/>
        </w:rPr>
      </w:pPr>
    </w:p>
    <w:p w14:paraId="15C2062E" w14:textId="20AB3F8A" w:rsidR="0080229C" w:rsidRPr="00E01E4C" w:rsidRDefault="0080229C" w:rsidP="0080229C">
      <w:pPr>
        <w:pStyle w:val="EndNoteBibliography"/>
        <w:spacing w:after="0"/>
        <w:rPr>
          <w:lang w:val="en-US"/>
        </w:rPr>
      </w:pPr>
      <w:r w:rsidRPr="00B03E22">
        <w:rPr>
          <w:lang w:val="en-US"/>
        </w:rPr>
        <w:t xml:space="preserve">Schjørring S, Lassen SG, Jensen T, Moura A, Kjeldgaard JS, Müller L, Thielke S, Leclercq A, Maury MM &amp; Tourdjman M (2017) Cross-border outbreak of listeriosis caused by cold-smoked salmon, revealed by integrated surveillance and whole genome sequencing (WGS), Denmark and France, 2015 to 2017. </w:t>
      </w:r>
      <w:r w:rsidRPr="00E01E4C">
        <w:rPr>
          <w:i/>
          <w:lang w:val="en-US"/>
        </w:rPr>
        <w:t>Eurosurveillance</w:t>
      </w:r>
      <w:r w:rsidRPr="00E01E4C">
        <w:rPr>
          <w:lang w:val="en-US"/>
        </w:rPr>
        <w:t xml:space="preserve"> </w:t>
      </w:r>
      <w:r w:rsidRPr="00E01E4C">
        <w:rPr>
          <w:b/>
          <w:lang w:val="en-US"/>
        </w:rPr>
        <w:t>22</w:t>
      </w:r>
      <w:r w:rsidRPr="00E01E4C">
        <w:rPr>
          <w:lang w:val="en-US"/>
        </w:rPr>
        <w:t>.</w:t>
      </w:r>
    </w:p>
    <w:p w14:paraId="64B15A1C" w14:textId="77777777" w:rsidR="00B03E22" w:rsidRPr="00E01E4C" w:rsidRDefault="00B03E22" w:rsidP="0080229C">
      <w:pPr>
        <w:pStyle w:val="EndNoteBibliography"/>
        <w:spacing w:after="0"/>
        <w:rPr>
          <w:lang w:val="en-US"/>
        </w:rPr>
      </w:pPr>
    </w:p>
    <w:p w14:paraId="125DF5A1" w14:textId="6447D5C5" w:rsidR="0080229C" w:rsidRPr="00E01E4C" w:rsidRDefault="0080229C" w:rsidP="0080229C">
      <w:pPr>
        <w:pStyle w:val="EndNoteBibliography"/>
        <w:spacing w:after="0"/>
        <w:rPr>
          <w:lang w:val="en-US"/>
        </w:rPr>
      </w:pPr>
      <w:r w:rsidRPr="00E01E4C">
        <w:rPr>
          <w:lang w:val="en-US"/>
        </w:rPr>
        <w:t xml:space="preserve">Seeliger H &amp; Hönne K Serotyping of Listeria monocytogenes and related species. Vol. 13. </w:t>
      </w:r>
      <w:r w:rsidRPr="00E01E4C">
        <w:rPr>
          <w:i/>
          <w:lang w:val="en-US"/>
        </w:rPr>
        <w:t>Methods in microbiology Capítulo</w:t>
      </w:r>
      <w:r w:rsidRPr="00E01E4C">
        <w:rPr>
          <w:lang w:val="en-US"/>
        </w:rPr>
        <w:t xml:space="preserve"> </w:t>
      </w:r>
      <w:r w:rsidRPr="00E01E4C">
        <w:rPr>
          <w:b/>
          <w:lang w:val="en-US"/>
        </w:rPr>
        <w:t>11</w:t>
      </w:r>
      <w:r w:rsidRPr="00E01E4C">
        <w:rPr>
          <w:lang w:val="en-US"/>
        </w:rPr>
        <w:t>: 31-49.</w:t>
      </w:r>
    </w:p>
    <w:p w14:paraId="32E0E220" w14:textId="77777777" w:rsidR="00B03E22" w:rsidRPr="00E01E4C" w:rsidRDefault="00B03E22" w:rsidP="0080229C">
      <w:pPr>
        <w:pStyle w:val="EndNoteBibliography"/>
        <w:spacing w:after="0"/>
        <w:rPr>
          <w:lang w:val="en-US"/>
        </w:rPr>
      </w:pPr>
    </w:p>
    <w:p w14:paraId="076A8CCA" w14:textId="4FECB791" w:rsidR="0080229C" w:rsidRPr="00E01E4C" w:rsidRDefault="0080229C" w:rsidP="0080229C">
      <w:pPr>
        <w:pStyle w:val="EndNoteBibliography"/>
        <w:spacing w:after="0"/>
        <w:rPr>
          <w:lang w:val="en-US"/>
        </w:rPr>
      </w:pPr>
      <w:r w:rsidRPr="00E01E4C">
        <w:rPr>
          <w:lang w:val="en-US"/>
        </w:rPr>
        <w:t xml:space="preserve">Severiano A, Pinto FR, Ramirez M &amp; Carriço JA (2011) Adjusted Wallace coefficient as a measure of congruence between typing methods. </w:t>
      </w:r>
      <w:r w:rsidRPr="00E01E4C">
        <w:rPr>
          <w:i/>
          <w:lang w:val="en-US"/>
        </w:rPr>
        <w:t>Journal of Clinical Microbiology</w:t>
      </w:r>
      <w:r w:rsidRPr="00E01E4C">
        <w:rPr>
          <w:lang w:val="en-US"/>
        </w:rPr>
        <w:t xml:space="preserve"> </w:t>
      </w:r>
      <w:r w:rsidRPr="00E01E4C">
        <w:rPr>
          <w:b/>
          <w:lang w:val="en-US"/>
        </w:rPr>
        <w:t>49</w:t>
      </w:r>
      <w:r w:rsidRPr="00E01E4C">
        <w:rPr>
          <w:lang w:val="en-US"/>
        </w:rPr>
        <w:t>: 3997-4000.</w:t>
      </w:r>
    </w:p>
    <w:p w14:paraId="474B1EE0" w14:textId="77777777" w:rsidR="00B03E22" w:rsidRPr="00E01E4C" w:rsidRDefault="00B03E22" w:rsidP="0080229C">
      <w:pPr>
        <w:pStyle w:val="EndNoteBibliography"/>
        <w:spacing w:after="0"/>
        <w:rPr>
          <w:lang w:val="en-US"/>
        </w:rPr>
      </w:pPr>
    </w:p>
    <w:p w14:paraId="32B7CBA8" w14:textId="6694A505" w:rsidR="0080229C" w:rsidRPr="00E01E4C" w:rsidRDefault="0080229C" w:rsidP="0080229C">
      <w:pPr>
        <w:pStyle w:val="EndNoteBibliography"/>
        <w:spacing w:after="0"/>
        <w:rPr>
          <w:lang w:val="en-US"/>
        </w:rPr>
      </w:pPr>
      <w:r w:rsidRPr="00E01E4C">
        <w:rPr>
          <w:lang w:val="en-US"/>
        </w:rPr>
        <w:t xml:space="preserve">Smith DS &amp; Maxwell PW (2007) Use of quantitative PCR to evaluate several methods for extracting DNA from corn flour and cornstarch. </w:t>
      </w:r>
      <w:r w:rsidRPr="00E01E4C">
        <w:rPr>
          <w:i/>
          <w:lang w:val="en-US"/>
        </w:rPr>
        <w:t>Food Control</w:t>
      </w:r>
      <w:r w:rsidRPr="00E01E4C">
        <w:rPr>
          <w:lang w:val="en-US"/>
        </w:rPr>
        <w:t xml:space="preserve"> </w:t>
      </w:r>
      <w:r w:rsidRPr="00E01E4C">
        <w:rPr>
          <w:b/>
          <w:lang w:val="en-US"/>
        </w:rPr>
        <w:t>18</w:t>
      </w:r>
      <w:r w:rsidRPr="00E01E4C">
        <w:rPr>
          <w:lang w:val="en-US"/>
        </w:rPr>
        <w:t>: 236-242.</w:t>
      </w:r>
    </w:p>
    <w:p w14:paraId="6F8BA8C6" w14:textId="77777777" w:rsidR="00B03E22" w:rsidRPr="00E01E4C" w:rsidRDefault="00B03E22" w:rsidP="0080229C">
      <w:pPr>
        <w:pStyle w:val="EndNoteBibliography"/>
        <w:spacing w:after="0"/>
        <w:rPr>
          <w:lang w:val="en-US"/>
        </w:rPr>
      </w:pPr>
    </w:p>
    <w:p w14:paraId="24CDE924" w14:textId="6FD3D081" w:rsidR="0080229C" w:rsidRPr="00E01E4C" w:rsidRDefault="0080229C" w:rsidP="0080229C">
      <w:pPr>
        <w:pStyle w:val="EndNoteBibliography"/>
        <w:spacing w:after="0"/>
        <w:rPr>
          <w:lang w:val="en-US"/>
        </w:rPr>
      </w:pPr>
      <w:r w:rsidRPr="00E01E4C">
        <w:rPr>
          <w:lang w:val="en-US"/>
        </w:rPr>
        <w:t xml:space="preserve">Stoller A, Stevens MJ, Stephan R &amp; Guldimann C (2019) Characteristics of Listeria monocytogenes strains persisting in a meat processing facility over a 4-year period. </w:t>
      </w:r>
      <w:r w:rsidRPr="00E01E4C">
        <w:rPr>
          <w:i/>
          <w:lang w:val="en-US"/>
        </w:rPr>
        <w:t>Pathogens</w:t>
      </w:r>
      <w:r w:rsidRPr="00E01E4C">
        <w:rPr>
          <w:lang w:val="en-US"/>
        </w:rPr>
        <w:t xml:space="preserve"> </w:t>
      </w:r>
      <w:r w:rsidRPr="00E01E4C">
        <w:rPr>
          <w:b/>
          <w:lang w:val="en-US"/>
        </w:rPr>
        <w:t>8</w:t>
      </w:r>
      <w:r w:rsidRPr="00E01E4C">
        <w:rPr>
          <w:lang w:val="en-US"/>
        </w:rPr>
        <w:t>: 32.</w:t>
      </w:r>
    </w:p>
    <w:p w14:paraId="2BF2D76E" w14:textId="77777777" w:rsidR="00B03E22" w:rsidRPr="00E01E4C" w:rsidRDefault="00B03E22" w:rsidP="0080229C">
      <w:pPr>
        <w:pStyle w:val="EndNoteBibliography"/>
        <w:spacing w:after="0"/>
        <w:rPr>
          <w:lang w:val="en-US"/>
        </w:rPr>
      </w:pPr>
    </w:p>
    <w:p w14:paraId="6420894C" w14:textId="3CBA29EB" w:rsidR="0080229C" w:rsidRPr="00E01E4C" w:rsidRDefault="0080229C" w:rsidP="0080229C">
      <w:pPr>
        <w:pStyle w:val="EndNoteBibliography"/>
        <w:spacing w:after="0"/>
        <w:rPr>
          <w:lang w:val="en-US"/>
        </w:rPr>
      </w:pPr>
      <w:r w:rsidRPr="00E01E4C">
        <w:rPr>
          <w:lang w:val="en-US"/>
        </w:rPr>
        <w:t xml:space="preserve">Tham W, Ericsson H, Loncarevic S, Unnerstad H &amp; Danielsson-Tham ML (2000) Lessons from an outbreak of listeriosis related to vacuum-packed gravad and cold-smoked fish. </w:t>
      </w:r>
      <w:r w:rsidRPr="00E01E4C">
        <w:rPr>
          <w:i/>
          <w:lang w:val="en-US"/>
        </w:rPr>
        <w:t>Int J Food Microbiol</w:t>
      </w:r>
      <w:r w:rsidRPr="00E01E4C">
        <w:rPr>
          <w:lang w:val="en-US"/>
        </w:rPr>
        <w:t xml:space="preserve"> </w:t>
      </w:r>
      <w:r w:rsidRPr="00E01E4C">
        <w:rPr>
          <w:b/>
          <w:lang w:val="en-US"/>
        </w:rPr>
        <w:t>62</w:t>
      </w:r>
      <w:r w:rsidRPr="00E01E4C">
        <w:rPr>
          <w:lang w:val="en-US"/>
        </w:rPr>
        <w:t>: 173-175.</w:t>
      </w:r>
    </w:p>
    <w:p w14:paraId="4CE6EC9E" w14:textId="77777777" w:rsidR="00B03E22" w:rsidRPr="00E01E4C" w:rsidRDefault="00B03E22" w:rsidP="0080229C">
      <w:pPr>
        <w:pStyle w:val="EndNoteBibliography"/>
        <w:spacing w:after="0"/>
        <w:rPr>
          <w:lang w:val="en-US"/>
        </w:rPr>
      </w:pPr>
    </w:p>
    <w:p w14:paraId="51BA8FD8" w14:textId="1BA93108" w:rsidR="0080229C" w:rsidRPr="00E01E4C" w:rsidRDefault="0080229C" w:rsidP="0080229C">
      <w:pPr>
        <w:pStyle w:val="EndNoteBibliography"/>
        <w:spacing w:after="0"/>
        <w:rPr>
          <w:lang w:val="en-US"/>
        </w:rPr>
      </w:pPr>
      <w:r w:rsidRPr="00E01E4C">
        <w:rPr>
          <w:lang w:val="en-US"/>
        </w:rPr>
        <w:t xml:space="preserve">Vitas A (2004) Occurrence of Listeria monocytogenes in fresh and processed foods in Navarra (Spain). </w:t>
      </w:r>
      <w:r w:rsidRPr="00E01E4C">
        <w:rPr>
          <w:i/>
          <w:lang w:val="en-US"/>
        </w:rPr>
        <w:t>International journal of food microbiology</w:t>
      </w:r>
      <w:r w:rsidRPr="00E01E4C">
        <w:rPr>
          <w:lang w:val="en-US"/>
        </w:rPr>
        <w:t xml:space="preserve"> </w:t>
      </w:r>
      <w:r w:rsidRPr="00E01E4C">
        <w:rPr>
          <w:b/>
          <w:lang w:val="en-US"/>
        </w:rPr>
        <w:t>90</w:t>
      </w:r>
      <w:r w:rsidRPr="00E01E4C">
        <w:rPr>
          <w:lang w:val="en-US"/>
        </w:rPr>
        <w:t>: 349-356.</w:t>
      </w:r>
    </w:p>
    <w:p w14:paraId="44CAB9FA" w14:textId="77777777" w:rsidR="00B03E22" w:rsidRPr="00E01E4C" w:rsidRDefault="00B03E22" w:rsidP="0080229C">
      <w:pPr>
        <w:pStyle w:val="EndNoteBibliography"/>
        <w:spacing w:after="0"/>
        <w:rPr>
          <w:lang w:val="en-US"/>
        </w:rPr>
      </w:pPr>
    </w:p>
    <w:p w14:paraId="26E8EA5D" w14:textId="77777777" w:rsidR="0080229C" w:rsidRPr="00E01E4C" w:rsidRDefault="0080229C" w:rsidP="0080229C">
      <w:pPr>
        <w:pStyle w:val="EndNoteBibliography"/>
        <w:spacing w:after="0"/>
        <w:rPr>
          <w:lang w:val="en-US"/>
        </w:rPr>
      </w:pPr>
      <w:r w:rsidRPr="00B03E22">
        <w:rPr>
          <w:lang w:val="en-US"/>
        </w:rPr>
        <w:t xml:space="preserve">Vitullo M, Grant KA, Sammarco ML, Tamburro M, Ripabelli G &amp; Amar CFL (2013) Real-time PCRs assay for serogrouping Listeria monocytogenes and differentiation from other Listeria spp. </w:t>
      </w:r>
      <w:r w:rsidRPr="00E01E4C">
        <w:rPr>
          <w:i/>
          <w:lang w:val="en-US"/>
        </w:rPr>
        <w:t>Molecular and cellular probes</w:t>
      </w:r>
      <w:r w:rsidRPr="00E01E4C">
        <w:rPr>
          <w:lang w:val="en-US"/>
        </w:rPr>
        <w:t xml:space="preserve"> </w:t>
      </w:r>
      <w:r w:rsidRPr="00E01E4C">
        <w:rPr>
          <w:b/>
          <w:lang w:val="en-US"/>
        </w:rPr>
        <w:t>27</w:t>
      </w:r>
      <w:r w:rsidRPr="00E01E4C">
        <w:rPr>
          <w:lang w:val="en-US"/>
        </w:rPr>
        <w:t>: 68-70.</w:t>
      </w:r>
    </w:p>
    <w:p w14:paraId="0C7A8EAC" w14:textId="52B2BA64" w:rsidR="0080229C" w:rsidRPr="00E01E4C" w:rsidRDefault="0080229C" w:rsidP="0080229C">
      <w:pPr>
        <w:pStyle w:val="EndNoteBibliography"/>
        <w:spacing w:after="0"/>
        <w:rPr>
          <w:lang w:val="en-US"/>
        </w:rPr>
      </w:pPr>
      <w:r w:rsidRPr="00E01E4C">
        <w:rPr>
          <w:lang w:val="en-US"/>
        </w:rPr>
        <w:t xml:space="preserve">Wagner M, Auer B, Trittremmel C, Hein I &amp; Schoder D (2007) Survey on the Listeria contamination of ready-to-eat food products and household environments in Vienna, Austria. </w:t>
      </w:r>
      <w:r w:rsidRPr="00E01E4C">
        <w:rPr>
          <w:i/>
          <w:lang w:val="en-US"/>
        </w:rPr>
        <w:t>Zoonoses and Public Health</w:t>
      </w:r>
      <w:r w:rsidRPr="00E01E4C">
        <w:rPr>
          <w:lang w:val="en-US"/>
        </w:rPr>
        <w:t xml:space="preserve"> </w:t>
      </w:r>
      <w:r w:rsidRPr="00E01E4C">
        <w:rPr>
          <w:b/>
          <w:lang w:val="en-US"/>
        </w:rPr>
        <w:t>54</w:t>
      </w:r>
      <w:r w:rsidRPr="00E01E4C">
        <w:rPr>
          <w:lang w:val="en-US"/>
        </w:rPr>
        <w:t>: 16-22.</w:t>
      </w:r>
    </w:p>
    <w:p w14:paraId="2DA570A3" w14:textId="77777777" w:rsidR="00B03E22" w:rsidRPr="00E01E4C" w:rsidRDefault="00B03E22" w:rsidP="0080229C">
      <w:pPr>
        <w:pStyle w:val="EndNoteBibliography"/>
        <w:spacing w:after="0"/>
        <w:rPr>
          <w:lang w:val="en-US"/>
        </w:rPr>
      </w:pPr>
    </w:p>
    <w:p w14:paraId="354363D8" w14:textId="6F2CFA36" w:rsidR="0080229C" w:rsidRPr="00E01E4C" w:rsidRDefault="0080229C" w:rsidP="0080229C">
      <w:pPr>
        <w:pStyle w:val="EndNoteBibliography"/>
        <w:spacing w:after="0"/>
        <w:rPr>
          <w:lang w:val="en-US"/>
        </w:rPr>
      </w:pPr>
      <w:r w:rsidRPr="00E01E4C">
        <w:rPr>
          <w:lang w:val="en-US"/>
        </w:rPr>
        <w:t xml:space="preserve">Weller D, Andrus A, Wiedmann M &amp; den Bakker HC (2015) </w:t>
      </w:r>
      <w:r w:rsidRPr="00E01E4C">
        <w:rPr>
          <w:i/>
          <w:lang w:val="en-US"/>
        </w:rPr>
        <w:t>Listeria booriae</w:t>
      </w:r>
      <w:r w:rsidRPr="00E01E4C">
        <w:rPr>
          <w:lang w:val="en-US"/>
        </w:rPr>
        <w:t xml:space="preserve"> sp. nov. and</w:t>
      </w:r>
      <w:r w:rsidRPr="00E01E4C">
        <w:rPr>
          <w:i/>
          <w:lang w:val="en-US"/>
        </w:rPr>
        <w:t xml:space="preserve"> Listeria newyorkensis</w:t>
      </w:r>
      <w:r w:rsidRPr="00E01E4C">
        <w:rPr>
          <w:lang w:val="en-US"/>
        </w:rPr>
        <w:t xml:space="preserve"> sp. nov., from food processing environments in the USA. </w:t>
      </w:r>
      <w:r w:rsidRPr="00E01E4C">
        <w:rPr>
          <w:i/>
          <w:lang w:val="en-US"/>
        </w:rPr>
        <w:t>Int J Syst Evol Microbiol</w:t>
      </w:r>
      <w:r w:rsidRPr="00E01E4C">
        <w:rPr>
          <w:lang w:val="en-US"/>
        </w:rPr>
        <w:t xml:space="preserve"> </w:t>
      </w:r>
      <w:r w:rsidRPr="00E01E4C">
        <w:rPr>
          <w:b/>
          <w:lang w:val="en-US"/>
        </w:rPr>
        <w:t>65</w:t>
      </w:r>
      <w:r w:rsidRPr="00E01E4C">
        <w:rPr>
          <w:lang w:val="en-US"/>
        </w:rPr>
        <w:t>: 286-292.</w:t>
      </w:r>
    </w:p>
    <w:p w14:paraId="2B87E5C6" w14:textId="77777777" w:rsidR="00B03E22" w:rsidRPr="00E01E4C" w:rsidRDefault="00B03E22" w:rsidP="0080229C">
      <w:pPr>
        <w:pStyle w:val="EndNoteBibliography"/>
        <w:spacing w:after="0"/>
        <w:rPr>
          <w:lang w:val="en-US"/>
        </w:rPr>
      </w:pPr>
    </w:p>
    <w:p w14:paraId="1E7FAAC3" w14:textId="54D9826A" w:rsidR="0080229C" w:rsidRPr="00E01E4C" w:rsidRDefault="0080229C" w:rsidP="0080229C">
      <w:pPr>
        <w:pStyle w:val="EndNoteBibliography"/>
        <w:spacing w:after="0"/>
        <w:rPr>
          <w:lang w:val="en-US"/>
        </w:rPr>
      </w:pPr>
      <w:r w:rsidRPr="00E01E4C">
        <w:rPr>
          <w:lang w:val="en-US"/>
        </w:rPr>
        <w:t>Whitworth J (2020) Germany hit hardest by current Listeria outbreak across Europe. p.^pp.</w:t>
      </w:r>
    </w:p>
    <w:p w14:paraId="376CF67F" w14:textId="77777777" w:rsidR="00B03E22" w:rsidRPr="00E01E4C" w:rsidRDefault="00B03E22" w:rsidP="0080229C">
      <w:pPr>
        <w:pStyle w:val="EndNoteBibliography"/>
        <w:spacing w:after="0"/>
        <w:rPr>
          <w:lang w:val="en-US"/>
        </w:rPr>
      </w:pPr>
    </w:p>
    <w:p w14:paraId="3F8C77E3" w14:textId="211AECE5" w:rsidR="0080229C" w:rsidRPr="00E01E4C" w:rsidRDefault="0080229C" w:rsidP="0080229C">
      <w:pPr>
        <w:pStyle w:val="EndNoteBibliography"/>
        <w:spacing w:after="0"/>
        <w:rPr>
          <w:lang w:val="en-US"/>
        </w:rPr>
      </w:pPr>
      <w:r w:rsidRPr="00E01E4C">
        <w:rPr>
          <w:lang w:val="en-US"/>
        </w:rPr>
        <w:t>Whitworth J (2020) Fatal Listeria outbreak linked to trout in the Netherlands p.^pp.</w:t>
      </w:r>
    </w:p>
    <w:p w14:paraId="20FEC4F1" w14:textId="77777777" w:rsidR="00B03E22" w:rsidRPr="00E01E4C" w:rsidRDefault="00B03E22" w:rsidP="0080229C">
      <w:pPr>
        <w:pStyle w:val="EndNoteBibliography"/>
        <w:spacing w:after="0"/>
        <w:rPr>
          <w:lang w:val="en-US"/>
        </w:rPr>
      </w:pPr>
    </w:p>
    <w:p w14:paraId="40185BF3" w14:textId="77777777" w:rsidR="0080229C" w:rsidRPr="0080229C" w:rsidRDefault="0080229C" w:rsidP="0080229C">
      <w:pPr>
        <w:pStyle w:val="EndNoteBibliography"/>
      </w:pPr>
      <w:r w:rsidRPr="00064899">
        <w:rPr>
          <w:lang w:val="en-US"/>
        </w:rPr>
        <w:t xml:space="preserve">Yin Y, Tan W, Wang G, Kong S, Zhou X, Zhao D, Jia Y &amp; Pan Z (2015) Geographical and longitudinal analysis of Listeria monocytogenes genetic diversity reveals its correlation with virulence and unique evolution. </w:t>
      </w:r>
      <w:r w:rsidRPr="0080229C">
        <w:rPr>
          <w:i/>
        </w:rPr>
        <w:t>Microbiological research</w:t>
      </w:r>
      <w:r w:rsidRPr="0080229C">
        <w:t xml:space="preserve"> </w:t>
      </w:r>
      <w:r w:rsidRPr="0080229C">
        <w:rPr>
          <w:b/>
        </w:rPr>
        <w:t>175</w:t>
      </w:r>
      <w:r w:rsidRPr="0080229C">
        <w:t>: 84-92.</w:t>
      </w:r>
    </w:p>
    <w:p w14:paraId="5BDD9811" w14:textId="4F0CFB7A" w:rsidR="00C61BFD" w:rsidRDefault="006A2172" w:rsidP="000F131B">
      <w:pPr>
        <w:pStyle w:val="EndNoteBibliography"/>
        <w:rPr>
          <w:rFonts w:ascii="Segoe UI" w:hAnsi="Segoe UI" w:cs="Segoe UI"/>
          <w:sz w:val="18"/>
          <w:szCs w:val="18"/>
          <w:lang w:val="en-GB"/>
        </w:rPr>
      </w:pPr>
      <w:r w:rsidRPr="008D0CB2">
        <w:fldChar w:fldCharType="end"/>
      </w:r>
    </w:p>
    <w:p w14:paraId="2F3BE67D" w14:textId="3B1A727F" w:rsidR="00C61BFD" w:rsidRPr="008D0CB2" w:rsidRDefault="00C61BFD" w:rsidP="00E27E68">
      <w:pPr>
        <w:pStyle w:val="EndNoteBibliography"/>
      </w:pPr>
    </w:p>
    <w:sectPr w:rsidR="00C61BFD" w:rsidRPr="008D0CB2" w:rsidSect="009849DF">
      <w:footerReference w:type="even" r:id="rId38"/>
      <w:footerReference w:type="default" r:id="rId39"/>
      <w:pgSz w:w="11906" w:h="16838"/>
      <w:pgMar w:top="1276" w:right="851" w:bottom="1418"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1D4C8" w14:textId="77777777" w:rsidR="00657B21" w:rsidRDefault="00657B21">
      <w:r>
        <w:separator/>
      </w:r>
    </w:p>
  </w:endnote>
  <w:endnote w:type="continuationSeparator" w:id="0">
    <w:p w14:paraId="48BDF4FB" w14:textId="77777777" w:rsidR="00657B21" w:rsidRDefault="00657B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Gill Sans MT">
    <w:altName w:val="Arial"/>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0F627" w14:textId="77777777" w:rsidR="00EA3623" w:rsidRDefault="00EA362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7001541" w14:textId="77777777" w:rsidR="00EA3623" w:rsidRDefault="00EA3623">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18CCB" w14:textId="311DDCA4" w:rsidR="00EA3623" w:rsidRDefault="00EA3623">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93C26">
      <w:rPr>
        <w:rStyle w:val="Numrodepage"/>
        <w:noProof/>
      </w:rPr>
      <w:t>46</w:t>
    </w:r>
    <w:r>
      <w:rPr>
        <w:rStyle w:val="Numrodepage"/>
      </w:rPr>
      <w:fldChar w:fldCharType="end"/>
    </w:r>
  </w:p>
  <w:p w14:paraId="363309D5" w14:textId="77777777" w:rsidR="00EA3623" w:rsidRDefault="00EA3623">
    <w:pPr>
      <w:pStyle w:val="Pieddepage"/>
      <w:pBdr>
        <w:top w:val="single" w:sz="4" w:space="1" w:color="auto"/>
      </w:pBdr>
      <w:ind w:right="360"/>
      <w:rPr>
        <w:rFonts w:ascii="Arial" w:hAnsi="Arial"/>
        <w:sz w:val="18"/>
      </w:rPr>
    </w:pPr>
    <w:proofErr w:type="spellStart"/>
    <w:r w:rsidRPr="00142F65">
      <w:rPr>
        <w:rFonts w:ascii="Arial" w:hAnsi="Arial"/>
        <w:sz w:val="18"/>
      </w:rPr>
      <w:t>France</w:t>
    </w:r>
    <w:r>
      <w:rPr>
        <w:rFonts w:ascii="Arial" w:hAnsi="Arial"/>
        <w:sz w:val="18"/>
      </w:rPr>
      <w:t>FilierePêche</w:t>
    </w:r>
    <w:proofErr w:type="spellEnd"/>
    <w:r w:rsidRPr="00142F65">
      <w:rPr>
        <w:rFonts w:ascii="Arial" w:hAnsi="Arial"/>
        <w:sz w:val="18"/>
      </w:rPr>
      <w:tab/>
    </w:r>
    <w:r w:rsidRPr="00240E34">
      <w:rPr>
        <w:rFonts w:ascii="Arial" w:hAnsi="Arial"/>
        <w:sz w:val="18"/>
      </w:rPr>
      <w:t>Enjeux Immédiats Aval 2019</w:t>
    </w:r>
  </w:p>
  <w:p w14:paraId="5F0D1229" w14:textId="77777777" w:rsidR="00EA3623" w:rsidRPr="00142F65" w:rsidRDefault="00EA3623">
    <w:pPr>
      <w:pStyle w:val="Pieddepage"/>
      <w:pBdr>
        <w:top w:val="single" w:sz="4" w:space="1" w:color="auto"/>
      </w:pBdr>
      <w:ind w:right="360"/>
      <w:rPr>
        <w:rFonts w:ascii="Arial" w:hAnsi="Arial"/>
        <w:sz w:val="18"/>
      </w:rPr>
    </w:pPr>
    <w:r w:rsidRPr="00142F65">
      <w:rPr>
        <w:rFonts w:ascii="Arial" w:hAnsi="Arial"/>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68069" w14:textId="77777777" w:rsidR="00657B21" w:rsidRDefault="00657B21">
      <w:r>
        <w:separator/>
      </w:r>
    </w:p>
  </w:footnote>
  <w:footnote w:type="continuationSeparator" w:id="0">
    <w:p w14:paraId="25D723C9" w14:textId="77777777" w:rsidR="00657B21" w:rsidRDefault="00657B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2"/>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00000002"/>
    <w:multiLevelType w:val="multilevel"/>
    <w:tmpl w:val="00000002"/>
    <w:name w:val="WW8Num2"/>
    <w:lvl w:ilvl="0">
      <w:start w:val="2"/>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2" w15:restartNumberingAfterBreak="0">
    <w:nsid w:val="00000003"/>
    <w:multiLevelType w:val="multilevel"/>
    <w:tmpl w:val="00000003"/>
    <w:name w:val="WW8Num3"/>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3" w15:restartNumberingAfterBreak="0">
    <w:nsid w:val="00000004"/>
    <w:multiLevelType w:val="multilevel"/>
    <w:tmpl w:val="00000004"/>
    <w:name w:val="WW8Num4"/>
    <w:lvl w:ilvl="0">
      <w:numFmt w:val="bullet"/>
      <w:lvlText w:val=""/>
      <w:lvlJc w:val="left"/>
      <w:pPr>
        <w:tabs>
          <w:tab w:val="num" w:pos="0"/>
        </w:tabs>
        <w:ind w:left="0" w:firstLine="0"/>
      </w:pPr>
      <w:rPr>
        <w:rFonts w:ascii="Symbol" w:hAnsi="Symbol" w:cs="OpenSymbol"/>
      </w:rPr>
    </w:lvl>
    <w:lvl w:ilvl="1">
      <w:numFmt w:val="bullet"/>
      <w:lvlText w:val=""/>
      <w:lvlJc w:val="left"/>
      <w:pPr>
        <w:tabs>
          <w:tab w:val="num" w:pos="0"/>
        </w:tabs>
        <w:ind w:left="0" w:firstLine="0"/>
      </w:pPr>
      <w:rPr>
        <w:rFonts w:ascii="Symbol" w:hAnsi="Symbol" w:cs="OpenSymbol"/>
      </w:rPr>
    </w:lvl>
    <w:lvl w:ilvl="2">
      <w:numFmt w:val="bullet"/>
      <w:lvlText w:val=""/>
      <w:lvlJc w:val="left"/>
      <w:pPr>
        <w:tabs>
          <w:tab w:val="num" w:pos="0"/>
        </w:tabs>
        <w:ind w:left="0" w:firstLine="0"/>
      </w:pPr>
      <w:rPr>
        <w:rFonts w:ascii="Symbol" w:hAnsi="Symbol" w:cs="OpenSymbol"/>
      </w:rPr>
    </w:lvl>
    <w:lvl w:ilvl="3">
      <w:numFmt w:val="bullet"/>
      <w:lvlText w:val=""/>
      <w:lvlJc w:val="left"/>
      <w:pPr>
        <w:tabs>
          <w:tab w:val="num" w:pos="0"/>
        </w:tabs>
        <w:ind w:left="0" w:firstLine="0"/>
      </w:pPr>
      <w:rPr>
        <w:rFonts w:ascii="Symbol" w:hAnsi="Symbol" w:cs="OpenSymbol"/>
      </w:rPr>
    </w:lvl>
    <w:lvl w:ilvl="4">
      <w:numFmt w:val="bullet"/>
      <w:lvlText w:val=""/>
      <w:lvlJc w:val="left"/>
      <w:pPr>
        <w:tabs>
          <w:tab w:val="num" w:pos="0"/>
        </w:tabs>
        <w:ind w:left="0" w:firstLine="0"/>
      </w:pPr>
      <w:rPr>
        <w:rFonts w:ascii="Symbol" w:hAnsi="Symbol" w:cs="OpenSymbol"/>
      </w:rPr>
    </w:lvl>
    <w:lvl w:ilvl="5">
      <w:numFmt w:val="bullet"/>
      <w:lvlText w:val=""/>
      <w:lvlJc w:val="left"/>
      <w:pPr>
        <w:tabs>
          <w:tab w:val="num" w:pos="0"/>
        </w:tabs>
        <w:ind w:left="0" w:firstLine="0"/>
      </w:pPr>
      <w:rPr>
        <w:rFonts w:ascii="Symbol" w:hAnsi="Symbol" w:cs="OpenSymbol"/>
      </w:rPr>
    </w:lvl>
    <w:lvl w:ilvl="6">
      <w:numFmt w:val="bullet"/>
      <w:lvlText w:val=""/>
      <w:lvlJc w:val="left"/>
      <w:pPr>
        <w:tabs>
          <w:tab w:val="num" w:pos="0"/>
        </w:tabs>
        <w:ind w:left="0" w:firstLine="0"/>
      </w:pPr>
      <w:rPr>
        <w:rFonts w:ascii="Symbol" w:hAnsi="Symbol" w:cs="OpenSymbol"/>
      </w:rPr>
    </w:lvl>
    <w:lvl w:ilvl="7">
      <w:numFmt w:val="bullet"/>
      <w:lvlText w:val=""/>
      <w:lvlJc w:val="left"/>
      <w:pPr>
        <w:tabs>
          <w:tab w:val="num" w:pos="0"/>
        </w:tabs>
        <w:ind w:left="0" w:firstLine="0"/>
      </w:pPr>
      <w:rPr>
        <w:rFonts w:ascii="Symbol" w:hAnsi="Symbol" w:cs="OpenSymbol"/>
      </w:rPr>
    </w:lvl>
    <w:lvl w:ilvl="8">
      <w:numFmt w:val="bullet"/>
      <w:lvlText w:val=""/>
      <w:lvlJc w:val="left"/>
      <w:pPr>
        <w:tabs>
          <w:tab w:val="num" w:pos="0"/>
        </w:tabs>
        <w:ind w:left="0" w:firstLine="0"/>
      </w:pPr>
      <w:rPr>
        <w:rFonts w:ascii="Symbol" w:hAnsi="Symbol"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1B5A0CCF"/>
    <w:multiLevelType w:val="multilevel"/>
    <w:tmpl w:val="CC5EB76E"/>
    <w:lvl w:ilvl="0">
      <w:start w:val="1"/>
      <w:numFmt w:val="upperRoman"/>
      <w:pStyle w:val="Titre1"/>
      <w:lvlText w:val="%1."/>
      <w:lvlJc w:val="left"/>
      <w:pPr>
        <w:ind w:left="0" w:firstLine="0"/>
      </w:p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3686" w:firstLine="0"/>
      </w:pPr>
      <w:rPr>
        <w:sz w:val="24"/>
        <w:szCs w:val="24"/>
      </w:r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6" w15:restartNumberingAfterBreak="0">
    <w:nsid w:val="372971AE"/>
    <w:multiLevelType w:val="multilevel"/>
    <w:tmpl w:val="B6020562"/>
    <w:lvl w:ilvl="0">
      <w:start w:val="1"/>
      <w:numFmt w:val="bullet"/>
      <w:pStyle w:val="puceS2"/>
      <w:suff w:val="space"/>
      <w:lvlText w:val=""/>
      <w:lvlJc w:val="left"/>
      <w:pPr>
        <w:ind w:left="360" w:hanging="360"/>
      </w:pPr>
      <w:rPr>
        <w:rFonts w:ascii="Symbol" w:hAnsi="Symbol" w:hint="default"/>
        <w:sz w:val="20"/>
      </w:rPr>
    </w:lvl>
    <w:lvl w:ilvl="1">
      <w:start w:val="1"/>
      <w:numFmt w:val="bullet"/>
      <w:pStyle w:val="puceS3"/>
      <w:suff w:val="space"/>
      <w:lvlText w:val=""/>
      <w:lvlJc w:val="left"/>
      <w:pPr>
        <w:ind w:left="720" w:hanging="360"/>
      </w:pPr>
      <w:rPr>
        <w:rFonts w:ascii="Marlett" w:hAnsi="Marlett" w:hint="default"/>
      </w:rPr>
    </w:lvl>
    <w:lvl w:ilvl="2">
      <w:start w:val="1"/>
      <w:numFmt w:val="bullet"/>
      <w:pStyle w:val="puce3meniveau"/>
      <w:suff w:val="space"/>
      <w:lvlText w:val=""/>
      <w:lvlJc w:val="left"/>
      <w:pPr>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43ED131A"/>
    <w:multiLevelType w:val="hybridMultilevel"/>
    <w:tmpl w:val="D242BEF8"/>
    <w:lvl w:ilvl="0" w:tplc="43766EDE">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D952AE5"/>
    <w:multiLevelType w:val="hybridMultilevel"/>
    <w:tmpl w:val="1484834A"/>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num w:numId="1">
    <w:abstractNumId w:val="5"/>
  </w:num>
  <w:num w:numId="2">
    <w:abstractNumId w:val="6"/>
  </w:num>
  <w:num w:numId="3">
    <w:abstractNumId w:val="7"/>
  </w:num>
  <w:num w:numId="4">
    <w:abstractNumId w:val="8"/>
  </w:num>
  <w:num w:numId="5">
    <w:abstractNumId w:val="5"/>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FEMS Journal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awss2d999aevez25svdvwj909sxsvw00x2&quot;&gt;My EndNote Library.2&lt;record-ids&gt;&lt;item&gt;43&lt;/item&gt;&lt;item&gt;64&lt;/item&gt;&lt;item&gt;282&lt;/item&gt;&lt;item&gt;580&lt;/item&gt;&lt;item&gt;611&lt;/item&gt;&lt;item&gt;679&lt;/item&gt;&lt;item&gt;684&lt;/item&gt;&lt;item&gt;686&lt;/item&gt;&lt;item&gt;777&lt;/item&gt;&lt;item&gt;778&lt;/item&gt;&lt;item&gt;981&lt;/item&gt;&lt;item&gt;1114&lt;/item&gt;&lt;item&gt;1115&lt;/item&gt;&lt;item&gt;1158&lt;/item&gt;&lt;item&gt;1208&lt;/item&gt;&lt;item&gt;1210&lt;/item&gt;&lt;item&gt;1249&lt;/item&gt;&lt;item&gt;1252&lt;/item&gt;&lt;item&gt;1253&lt;/item&gt;&lt;item&gt;1254&lt;/item&gt;&lt;item&gt;1255&lt;/item&gt;&lt;item&gt;1256&lt;/item&gt;&lt;item&gt;1259&lt;/item&gt;&lt;item&gt;1260&lt;/item&gt;&lt;item&gt;1261&lt;/item&gt;&lt;item&gt;1262&lt;/item&gt;&lt;item&gt;1263&lt;/item&gt;&lt;item&gt;1264&lt;/item&gt;&lt;item&gt;1265&lt;/item&gt;&lt;item&gt;1266&lt;/item&gt;&lt;item&gt;1267&lt;/item&gt;&lt;item&gt;1268&lt;/item&gt;&lt;item&gt;1269&lt;/item&gt;&lt;item&gt;1270&lt;/item&gt;&lt;item&gt;1272&lt;/item&gt;&lt;item&gt;1273&lt;/item&gt;&lt;item&gt;1274&lt;/item&gt;&lt;item&gt;1275&lt;/item&gt;&lt;item&gt;1276&lt;/item&gt;&lt;item&gt;1278&lt;/item&gt;&lt;item&gt;1282&lt;/item&gt;&lt;item&gt;1283&lt;/item&gt;&lt;item&gt;1285&lt;/item&gt;&lt;item&gt;1286&lt;/item&gt;&lt;item&gt;1287&lt;/item&gt;&lt;item&gt;1288&lt;/item&gt;&lt;item&gt;1290&lt;/item&gt;&lt;item&gt;1292&lt;/item&gt;&lt;item&gt;1294&lt;/item&gt;&lt;/record-ids&gt;&lt;/item&gt;&lt;/Libraries&gt;"/>
  </w:docVars>
  <w:rsids>
    <w:rsidRoot w:val="006C4849"/>
    <w:rsid w:val="00000279"/>
    <w:rsid w:val="00001356"/>
    <w:rsid w:val="00002426"/>
    <w:rsid w:val="000028A9"/>
    <w:rsid w:val="000033BD"/>
    <w:rsid w:val="00003445"/>
    <w:rsid w:val="00003A8E"/>
    <w:rsid w:val="00003E7D"/>
    <w:rsid w:val="0000553A"/>
    <w:rsid w:val="00005BC4"/>
    <w:rsid w:val="00006EE3"/>
    <w:rsid w:val="00007BBC"/>
    <w:rsid w:val="00012132"/>
    <w:rsid w:val="00012899"/>
    <w:rsid w:val="00013DBB"/>
    <w:rsid w:val="000144AE"/>
    <w:rsid w:val="00015735"/>
    <w:rsid w:val="00015B01"/>
    <w:rsid w:val="00017A58"/>
    <w:rsid w:val="00020697"/>
    <w:rsid w:val="00020FEE"/>
    <w:rsid w:val="00021A47"/>
    <w:rsid w:val="000222A1"/>
    <w:rsid w:val="000222F6"/>
    <w:rsid w:val="0002331A"/>
    <w:rsid w:val="00023A7E"/>
    <w:rsid w:val="00023CFF"/>
    <w:rsid w:val="00024759"/>
    <w:rsid w:val="00024866"/>
    <w:rsid w:val="00024BD0"/>
    <w:rsid w:val="00024D55"/>
    <w:rsid w:val="000251C8"/>
    <w:rsid w:val="00025480"/>
    <w:rsid w:val="0002564C"/>
    <w:rsid w:val="000256CE"/>
    <w:rsid w:val="0002667A"/>
    <w:rsid w:val="00026B4F"/>
    <w:rsid w:val="00026D14"/>
    <w:rsid w:val="00027D83"/>
    <w:rsid w:val="00027E50"/>
    <w:rsid w:val="0003077A"/>
    <w:rsid w:val="00030A01"/>
    <w:rsid w:val="00030C6E"/>
    <w:rsid w:val="00031420"/>
    <w:rsid w:val="00032449"/>
    <w:rsid w:val="000327CA"/>
    <w:rsid w:val="000337A2"/>
    <w:rsid w:val="00033CA6"/>
    <w:rsid w:val="00034096"/>
    <w:rsid w:val="00036574"/>
    <w:rsid w:val="00036B60"/>
    <w:rsid w:val="00036D31"/>
    <w:rsid w:val="000371E8"/>
    <w:rsid w:val="000378BC"/>
    <w:rsid w:val="00037991"/>
    <w:rsid w:val="00037E88"/>
    <w:rsid w:val="000401A8"/>
    <w:rsid w:val="00040B8B"/>
    <w:rsid w:val="0004156C"/>
    <w:rsid w:val="00042070"/>
    <w:rsid w:val="000426A4"/>
    <w:rsid w:val="00042726"/>
    <w:rsid w:val="000432B6"/>
    <w:rsid w:val="000435B3"/>
    <w:rsid w:val="00043E96"/>
    <w:rsid w:val="00045645"/>
    <w:rsid w:val="00045B52"/>
    <w:rsid w:val="000461ED"/>
    <w:rsid w:val="000464ED"/>
    <w:rsid w:val="00051FE2"/>
    <w:rsid w:val="000521DF"/>
    <w:rsid w:val="000535AE"/>
    <w:rsid w:val="00053B11"/>
    <w:rsid w:val="0005421F"/>
    <w:rsid w:val="0005461B"/>
    <w:rsid w:val="00055C19"/>
    <w:rsid w:val="00056A82"/>
    <w:rsid w:val="000604D4"/>
    <w:rsid w:val="00060B89"/>
    <w:rsid w:val="00061634"/>
    <w:rsid w:val="00061F56"/>
    <w:rsid w:val="00062C37"/>
    <w:rsid w:val="000643A7"/>
    <w:rsid w:val="00064899"/>
    <w:rsid w:val="0006626C"/>
    <w:rsid w:val="0006734F"/>
    <w:rsid w:val="000701EF"/>
    <w:rsid w:val="000728B2"/>
    <w:rsid w:val="000732DB"/>
    <w:rsid w:val="00073511"/>
    <w:rsid w:val="0007471E"/>
    <w:rsid w:val="00075A53"/>
    <w:rsid w:val="00076786"/>
    <w:rsid w:val="000768F7"/>
    <w:rsid w:val="00076BBA"/>
    <w:rsid w:val="00076DEF"/>
    <w:rsid w:val="000774FB"/>
    <w:rsid w:val="00077853"/>
    <w:rsid w:val="00080B68"/>
    <w:rsid w:val="00081FCE"/>
    <w:rsid w:val="000826C6"/>
    <w:rsid w:val="00082C6E"/>
    <w:rsid w:val="0008506C"/>
    <w:rsid w:val="00085750"/>
    <w:rsid w:val="00085BC7"/>
    <w:rsid w:val="00085F36"/>
    <w:rsid w:val="00085F70"/>
    <w:rsid w:val="000866BA"/>
    <w:rsid w:val="00086899"/>
    <w:rsid w:val="00086DD7"/>
    <w:rsid w:val="000874EF"/>
    <w:rsid w:val="00087CCB"/>
    <w:rsid w:val="000915C1"/>
    <w:rsid w:val="00091C84"/>
    <w:rsid w:val="000937ED"/>
    <w:rsid w:val="00094ED8"/>
    <w:rsid w:val="00096287"/>
    <w:rsid w:val="00096AE7"/>
    <w:rsid w:val="00096CAE"/>
    <w:rsid w:val="000A0394"/>
    <w:rsid w:val="000A0FE8"/>
    <w:rsid w:val="000A1874"/>
    <w:rsid w:val="000A28E4"/>
    <w:rsid w:val="000A29FA"/>
    <w:rsid w:val="000A47C7"/>
    <w:rsid w:val="000A50D9"/>
    <w:rsid w:val="000A674E"/>
    <w:rsid w:val="000A68DE"/>
    <w:rsid w:val="000A698E"/>
    <w:rsid w:val="000A6B05"/>
    <w:rsid w:val="000B2A2B"/>
    <w:rsid w:val="000B31D8"/>
    <w:rsid w:val="000B353C"/>
    <w:rsid w:val="000B4194"/>
    <w:rsid w:val="000B4F87"/>
    <w:rsid w:val="000B5689"/>
    <w:rsid w:val="000B588C"/>
    <w:rsid w:val="000B6052"/>
    <w:rsid w:val="000B69C6"/>
    <w:rsid w:val="000B71B6"/>
    <w:rsid w:val="000B7434"/>
    <w:rsid w:val="000C0B31"/>
    <w:rsid w:val="000C0D9F"/>
    <w:rsid w:val="000C1929"/>
    <w:rsid w:val="000C20C7"/>
    <w:rsid w:val="000C25DA"/>
    <w:rsid w:val="000C2D34"/>
    <w:rsid w:val="000C2F03"/>
    <w:rsid w:val="000C3B06"/>
    <w:rsid w:val="000C3E23"/>
    <w:rsid w:val="000C6045"/>
    <w:rsid w:val="000C65F0"/>
    <w:rsid w:val="000C74F4"/>
    <w:rsid w:val="000D1147"/>
    <w:rsid w:val="000D20FB"/>
    <w:rsid w:val="000D330C"/>
    <w:rsid w:val="000D3582"/>
    <w:rsid w:val="000D4B36"/>
    <w:rsid w:val="000D51C9"/>
    <w:rsid w:val="000D5DD2"/>
    <w:rsid w:val="000D6BCF"/>
    <w:rsid w:val="000D7246"/>
    <w:rsid w:val="000D7A0B"/>
    <w:rsid w:val="000E046B"/>
    <w:rsid w:val="000E0F29"/>
    <w:rsid w:val="000E1D36"/>
    <w:rsid w:val="000E2930"/>
    <w:rsid w:val="000E3B81"/>
    <w:rsid w:val="000E504C"/>
    <w:rsid w:val="000E589F"/>
    <w:rsid w:val="000E5C3C"/>
    <w:rsid w:val="000E6987"/>
    <w:rsid w:val="000F0221"/>
    <w:rsid w:val="000F0563"/>
    <w:rsid w:val="000F1005"/>
    <w:rsid w:val="000F131B"/>
    <w:rsid w:val="000F1321"/>
    <w:rsid w:val="000F2C54"/>
    <w:rsid w:val="000F2D49"/>
    <w:rsid w:val="000F2D79"/>
    <w:rsid w:val="000F3224"/>
    <w:rsid w:val="000F3E31"/>
    <w:rsid w:val="000F4076"/>
    <w:rsid w:val="000F426A"/>
    <w:rsid w:val="000F4622"/>
    <w:rsid w:val="000F5045"/>
    <w:rsid w:val="000F6654"/>
    <w:rsid w:val="000F7022"/>
    <w:rsid w:val="000F739F"/>
    <w:rsid w:val="000F765D"/>
    <w:rsid w:val="000F770D"/>
    <w:rsid w:val="000F7F58"/>
    <w:rsid w:val="001002CC"/>
    <w:rsid w:val="00100C10"/>
    <w:rsid w:val="00102609"/>
    <w:rsid w:val="0010292F"/>
    <w:rsid w:val="00102F88"/>
    <w:rsid w:val="00103856"/>
    <w:rsid w:val="00103B06"/>
    <w:rsid w:val="00103DE8"/>
    <w:rsid w:val="00103EF1"/>
    <w:rsid w:val="001043E1"/>
    <w:rsid w:val="001046D4"/>
    <w:rsid w:val="00105AEB"/>
    <w:rsid w:val="00107ECD"/>
    <w:rsid w:val="00110B4A"/>
    <w:rsid w:val="00111253"/>
    <w:rsid w:val="0011153B"/>
    <w:rsid w:val="00112A8B"/>
    <w:rsid w:val="00113789"/>
    <w:rsid w:val="00113EB4"/>
    <w:rsid w:val="001144CA"/>
    <w:rsid w:val="001151CF"/>
    <w:rsid w:val="00115C3C"/>
    <w:rsid w:val="00115F07"/>
    <w:rsid w:val="00115F63"/>
    <w:rsid w:val="00116231"/>
    <w:rsid w:val="00116856"/>
    <w:rsid w:val="00116EB3"/>
    <w:rsid w:val="00117217"/>
    <w:rsid w:val="0012024F"/>
    <w:rsid w:val="00120A5A"/>
    <w:rsid w:val="00121256"/>
    <w:rsid w:val="00122380"/>
    <w:rsid w:val="001229BC"/>
    <w:rsid w:val="00123A30"/>
    <w:rsid w:val="00125699"/>
    <w:rsid w:val="0012605A"/>
    <w:rsid w:val="001303C5"/>
    <w:rsid w:val="00130D43"/>
    <w:rsid w:val="0013174A"/>
    <w:rsid w:val="00131D5D"/>
    <w:rsid w:val="00133380"/>
    <w:rsid w:val="001337B1"/>
    <w:rsid w:val="00135C71"/>
    <w:rsid w:val="00136385"/>
    <w:rsid w:val="001363DA"/>
    <w:rsid w:val="00136978"/>
    <w:rsid w:val="00136FC1"/>
    <w:rsid w:val="00140256"/>
    <w:rsid w:val="001408C2"/>
    <w:rsid w:val="001419F0"/>
    <w:rsid w:val="00141F87"/>
    <w:rsid w:val="00142F65"/>
    <w:rsid w:val="00143668"/>
    <w:rsid w:val="00145682"/>
    <w:rsid w:val="00145846"/>
    <w:rsid w:val="00145EF4"/>
    <w:rsid w:val="00146A64"/>
    <w:rsid w:val="00146F08"/>
    <w:rsid w:val="00147EF7"/>
    <w:rsid w:val="001504E0"/>
    <w:rsid w:val="0015193E"/>
    <w:rsid w:val="001523FB"/>
    <w:rsid w:val="0015252E"/>
    <w:rsid w:val="00153F15"/>
    <w:rsid w:val="00154D99"/>
    <w:rsid w:val="00161339"/>
    <w:rsid w:val="0016380A"/>
    <w:rsid w:val="00163ECF"/>
    <w:rsid w:val="00164998"/>
    <w:rsid w:val="001651C2"/>
    <w:rsid w:val="00165B58"/>
    <w:rsid w:val="00167242"/>
    <w:rsid w:val="0016750B"/>
    <w:rsid w:val="001676C5"/>
    <w:rsid w:val="00170419"/>
    <w:rsid w:val="00171E57"/>
    <w:rsid w:val="00172A5C"/>
    <w:rsid w:val="001742CB"/>
    <w:rsid w:val="00174F45"/>
    <w:rsid w:val="00175205"/>
    <w:rsid w:val="00176573"/>
    <w:rsid w:val="0017657E"/>
    <w:rsid w:val="00177395"/>
    <w:rsid w:val="00177EC8"/>
    <w:rsid w:val="00180A82"/>
    <w:rsid w:val="00181335"/>
    <w:rsid w:val="00181E96"/>
    <w:rsid w:val="00183071"/>
    <w:rsid w:val="00184989"/>
    <w:rsid w:val="001849C5"/>
    <w:rsid w:val="00185446"/>
    <w:rsid w:val="00186A61"/>
    <w:rsid w:val="0018754D"/>
    <w:rsid w:val="00187DC8"/>
    <w:rsid w:val="00187F81"/>
    <w:rsid w:val="0019010A"/>
    <w:rsid w:val="00190566"/>
    <w:rsid w:val="001907FB"/>
    <w:rsid w:val="001932BC"/>
    <w:rsid w:val="00193518"/>
    <w:rsid w:val="00193D63"/>
    <w:rsid w:val="00194035"/>
    <w:rsid w:val="00194B27"/>
    <w:rsid w:val="00195085"/>
    <w:rsid w:val="001954E8"/>
    <w:rsid w:val="00196EBB"/>
    <w:rsid w:val="001A0CB4"/>
    <w:rsid w:val="001A1189"/>
    <w:rsid w:val="001A18CA"/>
    <w:rsid w:val="001A1DDC"/>
    <w:rsid w:val="001A206E"/>
    <w:rsid w:val="001A2C15"/>
    <w:rsid w:val="001A2E60"/>
    <w:rsid w:val="001A35D4"/>
    <w:rsid w:val="001A4166"/>
    <w:rsid w:val="001A4C6E"/>
    <w:rsid w:val="001A4D94"/>
    <w:rsid w:val="001A51DA"/>
    <w:rsid w:val="001A5995"/>
    <w:rsid w:val="001A7285"/>
    <w:rsid w:val="001B06B3"/>
    <w:rsid w:val="001B0E6D"/>
    <w:rsid w:val="001B2104"/>
    <w:rsid w:val="001B260E"/>
    <w:rsid w:val="001B38BB"/>
    <w:rsid w:val="001B39C1"/>
    <w:rsid w:val="001B3E30"/>
    <w:rsid w:val="001B47D3"/>
    <w:rsid w:val="001B4CD0"/>
    <w:rsid w:val="001B4D55"/>
    <w:rsid w:val="001B64FE"/>
    <w:rsid w:val="001B6D0C"/>
    <w:rsid w:val="001C03DD"/>
    <w:rsid w:val="001C0D29"/>
    <w:rsid w:val="001C11C0"/>
    <w:rsid w:val="001C138E"/>
    <w:rsid w:val="001C26CF"/>
    <w:rsid w:val="001C285A"/>
    <w:rsid w:val="001C2CE0"/>
    <w:rsid w:val="001C3EF1"/>
    <w:rsid w:val="001C6159"/>
    <w:rsid w:val="001C69DA"/>
    <w:rsid w:val="001C6B5E"/>
    <w:rsid w:val="001C7C07"/>
    <w:rsid w:val="001C7FAE"/>
    <w:rsid w:val="001D0120"/>
    <w:rsid w:val="001D17A9"/>
    <w:rsid w:val="001D26EA"/>
    <w:rsid w:val="001D3311"/>
    <w:rsid w:val="001D456A"/>
    <w:rsid w:val="001D4853"/>
    <w:rsid w:val="001D5D36"/>
    <w:rsid w:val="001D5F51"/>
    <w:rsid w:val="001D616C"/>
    <w:rsid w:val="001D65CD"/>
    <w:rsid w:val="001D6841"/>
    <w:rsid w:val="001D726F"/>
    <w:rsid w:val="001E1731"/>
    <w:rsid w:val="001E1805"/>
    <w:rsid w:val="001E1BBC"/>
    <w:rsid w:val="001E3D8C"/>
    <w:rsid w:val="001E4F71"/>
    <w:rsid w:val="001E68D1"/>
    <w:rsid w:val="001E6CC9"/>
    <w:rsid w:val="001E6E67"/>
    <w:rsid w:val="001E6F97"/>
    <w:rsid w:val="001F073C"/>
    <w:rsid w:val="001F0CB6"/>
    <w:rsid w:val="001F1822"/>
    <w:rsid w:val="001F1A32"/>
    <w:rsid w:val="001F2099"/>
    <w:rsid w:val="001F2DB1"/>
    <w:rsid w:val="001F3038"/>
    <w:rsid w:val="001F4CD1"/>
    <w:rsid w:val="001F5B1B"/>
    <w:rsid w:val="002001C5"/>
    <w:rsid w:val="00200AEE"/>
    <w:rsid w:val="002016ED"/>
    <w:rsid w:val="00201F24"/>
    <w:rsid w:val="00202359"/>
    <w:rsid w:val="0020332F"/>
    <w:rsid w:val="00205A4B"/>
    <w:rsid w:val="00206C53"/>
    <w:rsid w:val="00207E96"/>
    <w:rsid w:val="00210274"/>
    <w:rsid w:val="00210D10"/>
    <w:rsid w:val="00211D00"/>
    <w:rsid w:val="002174C1"/>
    <w:rsid w:val="002175B0"/>
    <w:rsid w:val="002224A8"/>
    <w:rsid w:val="00222578"/>
    <w:rsid w:val="00224229"/>
    <w:rsid w:val="00224A74"/>
    <w:rsid w:val="00225CD8"/>
    <w:rsid w:val="00225FDB"/>
    <w:rsid w:val="002264F6"/>
    <w:rsid w:val="00226739"/>
    <w:rsid w:val="002268B0"/>
    <w:rsid w:val="00226A5F"/>
    <w:rsid w:val="002273BE"/>
    <w:rsid w:val="0023072E"/>
    <w:rsid w:val="0023087D"/>
    <w:rsid w:val="00232459"/>
    <w:rsid w:val="00233DFF"/>
    <w:rsid w:val="00234335"/>
    <w:rsid w:val="00234981"/>
    <w:rsid w:val="00234F5E"/>
    <w:rsid w:val="002351EF"/>
    <w:rsid w:val="002357B4"/>
    <w:rsid w:val="0023637F"/>
    <w:rsid w:val="00240E34"/>
    <w:rsid w:val="00241AFA"/>
    <w:rsid w:val="002421B5"/>
    <w:rsid w:val="002436C2"/>
    <w:rsid w:val="0024373E"/>
    <w:rsid w:val="002439A9"/>
    <w:rsid w:val="0024531A"/>
    <w:rsid w:val="00245DCC"/>
    <w:rsid w:val="002466A4"/>
    <w:rsid w:val="00246C5A"/>
    <w:rsid w:val="00246EC0"/>
    <w:rsid w:val="00247397"/>
    <w:rsid w:val="002476FB"/>
    <w:rsid w:val="002478FE"/>
    <w:rsid w:val="00247E68"/>
    <w:rsid w:val="0025066B"/>
    <w:rsid w:val="002509C0"/>
    <w:rsid w:val="00250BBC"/>
    <w:rsid w:val="00251012"/>
    <w:rsid w:val="00251214"/>
    <w:rsid w:val="002515E4"/>
    <w:rsid w:val="00251DB3"/>
    <w:rsid w:val="00251EA0"/>
    <w:rsid w:val="00252A29"/>
    <w:rsid w:val="00252A76"/>
    <w:rsid w:val="00252ACE"/>
    <w:rsid w:val="00252E82"/>
    <w:rsid w:val="00255022"/>
    <w:rsid w:val="00255320"/>
    <w:rsid w:val="00255C0C"/>
    <w:rsid w:val="0025623F"/>
    <w:rsid w:val="0025717E"/>
    <w:rsid w:val="00257C90"/>
    <w:rsid w:val="0026086D"/>
    <w:rsid w:val="002619AE"/>
    <w:rsid w:val="00261ACE"/>
    <w:rsid w:val="0026320E"/>
    <w:rsid w:val="00263723"/>
    <w:rsid w:val="00264718"/>
    <w:rsid w:val="002669D8"/>
    <w:rsid w:val="00266F16"/>
    <w:rsid w:val="002676B5"/>
    <w:rsid w:val="00273CF7"/>
    <w:rsid w:val="00273D6E"/>
    <w:rsid w:val="00273F21"/>
    <w:rsid w:val="002740DF"/>
    <w:rsid w:val="0027469A"/>
    <w:rsid w:val="00275BD6"/>
    <w:rsid w:val="002766C0"/>
    <w:rsid w:val="00277A90"/>
    <w:rsid w:val="00277C66"/>
    <w:rsid w:val="00280313"/>
    <w:rsid w:val="0028147F"/>
    <w:rsid w:val="0028181E"/>
    <w:rsid w:val="00281870"/>
    <w:rsid w:val="00282F1A"/>
    <w:rsid w:val="00284C08"/>
    <w:rsid w:val="00285CF6"/>
    <w:rsid w:val="00286FCE"/>
    <w:rsid w:val="002914B7"/>
    <w:rsid w:val="002921DB"/>
    <w:rsid w:val="002923E8"/>
    <w:rsid w:val="00293691"/>
    <w:rsid w:val="00293EAB"/>
    <w:rsid w:val="00295C92"/>
    <w:rsid w:val="0029657D"/>
    <w:rsid w:val="002966D8"/>
    <w:rsid w:val="00296B67"/>
    <w:rsid w:val="002A00B7"/>
    <w:rsid w:val="002A038E"/>
    <w:rsid w:val="002A0FAB"/>
    <w:rsid w:val="002A1CD3"/>
    <w:rsid w:val="002A2135"/>
    <w:rsid w:val="002A2D17"/>
    <w:rsid w:val="002A2F1B"/>
    <w:rsid w:val="002A34B9"/>
    <w:rsid w:val="002A358F"/>
    <w:rsid w:val="002A3713"/>
    <w:rsid w:val="002A3FF3"/>
    <w:rsid w:val="002A42A8"/>
    <w:rsid w:val="002A497C"/>
    <w:rsid w:val="002A58AE"/>
    <w:rsid w:val="002A5E59"/>
    <w:rsid w:val="002A5F07"/>
    <w:rsid w:val="002A6CE8"/>
    <w:rsid w:val="002B003D"/>
    <w:rsid w:val="002B01B3"/>
    <w:rsid w:val="002B0D63"/>
    <w:rsid w:val="002B11CA"/>
    <w:rsid w:val="002B1CA3"/>
    <w:rsid w:val="002B2A85"/>
    <w:rsid w:val="002B2EFE"/>
    <w:rsid w:val="002B2FB1"/>
    <w:rsid w:val="002B32F3"/>
    <w:rsid w:val="002B4C12"/>
    <w:rsid w:val="002B55EE"/>
    <w:rsid w:val="002B584A"/>
    <w:rsid w:val="002B5D78"/>
    <w:rsid w:val="002B6479"/>
    <w:rsid w:val="002B6667"/>
    <w:rsid w:val="002B6F85"/>
    <w:rsid w:val="002C010B"/>
    <w:rsid w:val="002C11CB"/>
    <w:rsid w:val="002C1CFA"/>
    <w:rsid w:val="002C26F1"/>
    <w:rsid w:val="002C3B9D"/>
    <w:rsid w:val="002C3D77"/>
    <w:rsid w:val="002C4474"/>
    <w:rsid w:val="002C506C"/>
    <w:rsid w:val="002C5568"/>
    <w:rsid w:val="002C68D6"/>
    <w:rsid w:val="002C6F38"/>
    <w:rsid w:val="002C7081"/>
    <w:rsid w:val="002C74A9"/>
    <w:rsid w:val="002C7C48"/>
    <w:rsid w:val="002D0B29"/>
    <w:rsid w:val="002D0E2A"/>
    <w:rsid w:val="002D2200"/>
    <w:rsid w:val="002D22A8"/>
    <w:rsid w:val="002D27E7"/>
    <w:rsid w:val="002D450E"/>
    <w:rsid w:val="002D7297"/>
    <w:rsid w:val="002E0B75"/>
    <w:rsid w:val="002E10B6"/>
    <w:rsid w:val="002E19F7"/>
    <w:rsid w:val="002E214D"/>
    <w:rsid w:val="002E3984"/>
    <w:rsid w:val="002E4A66"/>
    <w:rsid w:val="002E55B1"/>
    <w:rsid w:val="002E78EF"/>
    <w:rsid w:val="002E7ED9"/>
    <w:rsid w:val="002F0052"/>
    <w:rsid w:val="002F2638"/>
    <w:rsid w:val="002F2FD4"/>
    <w:rsid w:val="002F311A"/>
    <w:rsid w:val="002F3753"/>
    <w:rsid w:val="002F5277"/>
    <w:rsid w:val="002F5480"/>
    <w:rsid w:val="002F5C35"/>
    <w:rsid w:val="002F5DC7"/>
    <w:rsid w:val="002F6F08"/>
    <w:rsid w:val="002F71D5"/>
    <w:rsid w:val="002F779E"/>
    <w:rsid w:val="002F7949"/>
    <w:rsid w:val="002F7A4C"/>
    <w:rsid w:val="003000D0"/>
    <w:rsid w:val="003004BC"/>
    <w:rsid w:val="003011C9"/>
    <w:rsid w:val="00304E13"/>
    <w:rsid w:val="0030510A"/>
    <w:rsid w:val="00305515"/>
    <w:rsid w:val="00305C44"/>
    <w:rsid w:val="00307143"/>
    <w:rsid w:val="00307938"/>
    <w:rsid w:val="003102AA"/>
    <w:rsid w:val="0031044F"/>
    <w:rsid w:val="00310E5B"/>
    <w:rsid w:val="00311AD8"/>
    <w:rsid w:val="003122BB"/>
    <w:rsid w:val="00312676"/>
    <w:rsid w:val="00312F82"/>
    <w:rsid w:val="0031316F"/>
    <w:rsid w:val="00313CD3"/>
    <w:rsid w:val="00315242"/>
    <w:rsid w:val="003152B9"/>
    <w:rsid w:val="0031533F"/>
    <w:rsid w:val="003161C7"/>
    <w:rsid w:val="00317CE6"/>
    <w:rsid w:val="0032238E"/>
    <w:rsid w:val="003228DD"/>
    <w:rsid w:val="00324CCA"/>
    <w:rsid w:val="0032503A"/>
    <w:rsid w:val="00325640"/>
    <w:rsid w:val="0032584B"/>
    <w:rsid w:val="0032585A"/>
    <w:rsid w:val="00326079"/>
    <w:rsid w:val="00326115"/>
    <w:rsid w:val="00327C72"/>
    <w:rsid w:val="00330740"/>
    <w:rsid w:val="003307D4"/>
    <w:rsid w:val="003309BE"/>
    <w:rsid w:val="00330C68"/>
    <w:rsid w:val="0033267C"/>
    <w:rsid w:val="00333FF6"/>
    <w:rsid w:val="00335171"/>
    <w:rsid w:val="00336190"/>
    <w:rsid w:val="003409B0"/>
    <w:rsid w:val="00340A94"/>
    <w:rsid w:val="00341F9A"/>
    <w:rsid w:val="00342584"/>
    <w:rsid w:val="00343890"/>
    <w:rsid w:val="00344114"/>
    <w:rsid w:val="00344494"/>
    <w:rsid w:val="00344A02"/>
    <w:rsid w:val="00345283"/>
    <w:rsid w:val="00346176"/>
    <w:rsid w:val="00347BC5"/>
    <w:rsid w:val="00347E16"/>
    <w:rsid w:val="00350927"/>
    <w:rsid w:val="003510F5"/>
    <w:rsid w:val="0035299B"/>
    <w:rsid w:val="00353A4D"/>
    <w:rsid w:val="00353BE0"/>
    <w:rsid w:val="00354E59"/>
    <w:rsid w:val="00356AE1"/>
    <w:rsid w:val="00357142"/>
    <w:rsid w:val="00360190"/>
    <w:rsid w:val="003606E8"/>
    <w:rsid w:val="00360E48"/>
    <w:rsid w:val="00361319"/>
    <w:rsid w:val="00362610"/>
    <w:rsid w:val="00362ECA"/>
    <w:rsid w:val="00363C05"/>
    <w:rsid w:val="003646DA"/>
    <w:rsid w:val="00364DF6"/>
    <w:rsid w:val="00365216"/>
    <w:rsid w:val="00365EAE"/>
    <w:rsid w:val="00366256"/>
    <w:rsid w:val="00366370"/>
    <w:rsid w:val="00366379"/>
    <w:rsid w:val="003665D4"/>
    <w:rsid w:val="00366963"/>
    <w:rsid w:val="00367811"/>
    <w:rsid w:val="003704A1"/>
    <w:rsid w:val="0037270C"/>
    <w:rsid w:val="003732EC"/>
    <w:rsid w:val="00373F8A"/>
    <w:rsid w:val="003745CD"/>
    <w:rsid w:val="00377305"/>
    <w:rsid w:val="00380131"/>
    <w:rsid w:val="003801B5"/>
    <w:rsid w:val="00380253"/>
    <w:rsid w:val="003809CE"/>
    <w:rsid w:val="00380C94"/>
    <w:rsid w:val="00380D63"/>
    <w:rsid w:val="0038306F"/>
    <w:rsid w:val="00383319"/>
    <w:rsid w:val="00383463"/>
    <w:rsid w:val="003838BC"/>
    <w:rsid w:val="00384855"/>
    <w:rsid w:val="00384AF8"/>
    <w:rsid w:val="0038543D"/>
    <w:rsid w:val="003856AA"/>
    <w:rsid w:val="00385969"/>
    <w:rsid w:val="00385B54"/>
    <w:rsid w:val="00385DE6"/>
    <w:rsid w:val="003879F9"/>
    <w:rsid w:val="0039054F"/>
    <w:rsid w:val="00390852"/>
    <w:rsid w:val="00392AA2"/>
    <w:rsid w:val="00392B09"/>
    <w:rsid w:val="003933BB"/>
    <w:rsid w:val="0039794A"/>
    <w:rsid w:val="003A0106"/>
    <w:rsid w:val="003A07BE"/>
    <w:rsid w:val="003A0BD5"/>
    <w:rsid w:val="003A1119"/>
    <w:rsid w:val="003A16D9"/>
    <w:rsid w:val="003A280B"/>
    <w:rsid w:val="003A3D30"/>
    <w:rsid w:val="003A4702"/>
    <w:rsid w:val="003A7508"/>
    <w:rsid w:val="003A7921"/>
    <w:rsid w:val="003B0B51"/>
    <w:rsid w:val="003B10D3"/>
    <w:rsid w:val="003B1829"/>
    <w:rsid w:val="003B2283"/>
    <w:rsid w:val="003B2349"/>
    <w:rsid w:val="003B567D"/>
    <w:rsid w:val="003B6388"/>
    <w:rsid w:val="003B6597"/>
    <w:rsid w:val="003B668B"/>
    <w:rsid w:val="003B7274"/>
    <w:rsid w:val="003B72FF"/>
    <w:rsid w:val="003B7D10"/>
    <w:rsid w:val="003C0B35"/>
    <w:rsid w:val="003C1B58"/>
    <w:rsid w:val="003C2B30"/>
    <w:rsid w:val="003C2F63"/>
    <w:rsid w:val="003C36CB"/>
    <w:rsid w:val="003C390E"/>
    <w:rsid w:val="003C5D37"/>
    <w:rsid w:val="003C5D6B"/>
    <w:rsid w:val="003D0227"/>
    <w:rsid w:val="003D0F99"/>
    <w:rsid w:val="003D483C"/>
    <w:rsid w:val="003D4BFD"/>
    <w:rsid w:val="003D5D91"/>
    <w:rsid w:val="003D61D1"/>
    <w:rsid w:val="003E0B09"/>
    <w:rsid w:val="003E104D"/>
    <w:rsid w:val="003E16CF"/>
    <w:rsid w:val="003E1D25"/>
    <w:rsid w:val="003E222C"/>
    <w:rsid w:val="003E28A1"/>
    <w:rsid w:val="003E2E07"/>
    <w:rsid w:val="003E3DD2"/>
    <w:rsid w:val="003E45F8"/>
    <w:rsid w:val="003E5038"/>
    <w:rsid w:val="003E5B8C"/>
    <w:rsid w:val="003E6637"/>
    <w:rsid w:val="003E6FE2"/>
    <w:rsid w:val="003F0235"/>
    <w:rsid w:val="003F2353"/>
    <w:rsid w:val="003F39B5"/>
    <w:rsid w:val="003F3C36"/>
    <w:rsid w:val="003F4C74"/>
    <w:rsid w:val="003F54C0"/>
    <w:rsid w:val="003F5577"/>
    <w:rsid w:val="003F55D5"/>
    <w:rsid w:val="003F5F6D"/>
    <w:rsid w:val="003F6A83"/>
    <w:rsid w:val="003F787C"/>
    <w:rsid w:val="0040179E"/>
    <w:rsid w:val="0040209B"/>
    <w:rsid w:val="004033B2"/>
    <w:rsid w:val="00403457"/>
    <w:rsid w:val="0040346E"/>
    <w:rsid w:val="00405966"/>
    <w:rsid w:val="00405E5D"/>
    <w:rsid w:val="00405FDF"/>
    <w:rsid w:val="004067FC"/>
    <w:rsid w:val="00406912"/>
    <w:rsid w:val="00410604"/>
    <w:rsid w:val="00410915"/>
    <w:rsid w:val="00410A02"/>
    <w:rsid w:val="00411795"/>
    <w:rsid w:val="0041337F"/>
    <w:rsid w:val="00413981"/>
    <w:rsid w:val="0041648E"/>
    <w:rsid w:val="00416F7D"/>
    <w:rsid w:val="00417833"/>
    <w:rsid w:val="004179D9"/>
    <w:rsid w:val="00417E41"/>
    <w:rsid w:val="0042063E"/>
    <w:rsid w:val="00420825"/>
    <w:rsid w:val="00421CBB"/>
    <w:rsid w:val="004222B7"/>
    <w:rsid w:val="004226B8"/>
    <w:rsid w:val="004243F6"/>
    <w:rsid w:val="004249E7"/>
    <w:rsid w:val="00425543"/>
    <w:rsid w:val="0042657A"/>
    <w:rsid w:val="00426AEF"/>
    <w:rsid w:val="00426E15"/>
    <w:rsid w:val="00427A62"/>
    <w:rsid w:val="004303D8"/>
    <w:rsid w:val="00430732"/>
    <w:rsid w:val="00430EA9"/>
    <w:rsid w:val="00431698"/>
    <w:rsid w:val="00431CE2"/>
    <w:rsid w:val="004334AC"/>
    <w:rsid w:val="0043364A"/>
    <w:rsid w:val="00433918"/>
    <w:rsid w:val="00433BFB"/>
    <w:rsid w:val="00434D64"/>
    <w:rsid w:val="00434FB0"/>
    <w:rsid w:val="00435055"/>
    <w:rsid w:val="004350DC"/>
    <w:rsid w:val="0043563D"/>
    <w:rsid w:val="00435668"/>
    <w:rsid w:val="00436814"/>
    <w:rsid w:val="00436FE6"/>
    <w:rsid w:val="0043758C"/>
    <w:rsid w:val="00437999"/>
    <w:rsid w:val="00440B6C"/>
    <w:rsid w:val="00443ADB"/>
    <w:rsid w:val="00443BB5"/>
    <w:rsid w:val="00443D73"/>
    <w:rsid w:val="00443EBE"/>
    <w:rsid w:val="0044448B"/>
    <w:rsid w:val="00446A54"/>
    <w:rsid w:val="00446B4B"/>
    <w:rsid w:val="004471EA"/>
    <w:rsid w:val="00450236"/>
    <w:rsid w:val="004505AC"/>
    <w:rsid w:val="00450807"/>
    <w:rsid w:val="00451604"/>
    <w:rsid w:val="0045167B"/>
    <w:rsid w:val="00452757"/>
    <w:rsid w:val="00452DCB"/>
    <w:rsid w:val="004541A9"/>
    <w:rsid w:val="004546C3"/>
    <w:rsid w:val="00454B33"/>
    <w:rsid w:val="00454CD9"/>
    <w:rsid w:val="00455C2A"/>
    <w:rsid w:val="00455EBE"/>
    <w:rsid w:val="00455EE3"/>
    <w:rsid w:val="00456585"/>
    <w:rsid w:val="00456912"/>
    <w:rsid w:val="00456F52"/>
    <w:rsid w:val="004573E8"/>
    <w:rsid w:val="00457754"/>
    <w:rsid w:val="00461530"/>
    <w:rsid w:val="00463C2C"/>
    <w:rsid w:val="00463F96"/>
    <w:rsid w:val="00464709"/>
    <w:rsid w:val="004652DE"/>
    <w:rsid w:val="0046583D"/>
    <w:rsid w:val="0046601F"/>
    <w:rsid w:val="004667E4"/>
    <w:rsid w:val="004667E5"/>
    <w:rsid w:val="004670C8"/>
    <w:rsid w:val="00470490"/>
    <w:rsid w:val="00470C8A"/>
    <w:rsid w:val="00471485"/>
    <w:rsid w:val="00472774"/>
    <w:rsid w:val="00474BE3"/>
    <w:rsid w:val="00475329"/>
    <w:rsid w:val="00475569"/>
    <w:rsid w:val="0047556B"/>
    <w:rsid w:val="00476821"/>
    <w:rsid w:val="0047696F"/>
    <w:rsid w:val="00482FF6"/>
    <w:rsid w:val="004837E4"/>
    <w:rsid w:val="00483896"/>
    <w:rsid w:val="00483B50"/>
    <w:rsid w:val="00483B51"/>
    <w:rsid w:val="00483F6F"/>
    <w:rsid w:val="00484EA0"/>
    <w:rsid w:val="00485D50"/>
    <w:rsid w:val="00486894"/>
    <w:rsid w:val="00486DD5"/>
    <w:rsid w:val="004874C1"/>
    <w:rsid w:val="0049077F"/>
    <w:rsid w:val="00490DB3"/>
    <w:rsid w:val="00492BF5"/>
    <w:rsid w:val="0049465F"/>
    <w:rsid w:val="004947FD"/>
    <w:rsid w:val="0049557B"/>
    <w:rsid w:val="0049576B"/>
    <w:rsid w:val="004957C8"/>
    <w:rsid w:val="00496A76"/>
    <w:rsid w:val="004A0F4E"/>
    <w:rsid w:val="004A12A8"/>
    <w:rsid w:val="004A24C4"/>
    <w:rsid w:val="004A26F9"/>
    <w:rsid w:val="004A5043"/>
    <w:rsid w:val="004A554F"/>
    <w:rsid w:val="004A596F"/>
    <w:rsid w:val="004A5C94"/>
    <w:rsid w:val="004A5E09"/>
    <w:rsid w:val="004A7505"/>
    <w:rsid w:val="004A7D73"/>
    <w:rsid w:val="004B0255"/>
    <w:rsid w:val="004B086F"/>
    <w:rsid w:val="004B0D43"/>
    <w:rsid w:val="004B0EC3"/>
    <w:rsid w:val="004B1D5A"/>
    <w:rsid w:val="004B214A"/>
    <w:rsid w:val="004B28B0"/>
    <w:rsid w:val="004B371C"/>
    <w:rsid w:val="004B575F"/>
    <w:rsid w:val="004B5C38"/>
    <w:rsid w:val="004B65DB"/>
    <w:rsid w:val="004B67BC"/>
    <w:rsid w:val="004B6813"/>
    <w:rsid w:val="004B6A75"/>
    <w:rsid w:val="004B6E24"/>
    <w:rsid w:val="004C0F3B"/>
    <w:rsid w:val="004C1FD0"/>
    <w:rsid w:val="004C34DB"/>
    <w:rsid w:val="004C44E9"/>
    <w:rsid w:val="004C4A20"/>
    <w:rsid w:val="004C4F77"/>
    <w:rsid w:val="004C562A"/>
    <w:rsid w:val="004C72A0"/>
    <w:rsid w:val="004C7FF5"/>
    <w:rsid w:val="004D0680"/>
    <w:rsid w:val="004D09C2"/>
    <w:rsid w:val="004D10B3"/>
    <w:rsid w:val="004D1A2E"/>
    <w:rsid w:val="004D1C27"/>
    <w:rsid w:val="004D1FCA"/>
    <w:rsid w:val="004D23BB"/>
    <w:rsid w:val="004D275E"/>
    <w:rsid w:val="004D45DA"/>
    <w:rsid w:val="004D4E14"/>
    <w:rsid w:val="004D5BF4"/>
    <w:rsid w:val="004D627A"/>
    <w:rsid w:val="004D72C9"/>
    <w:rsid w:val="004D7F04"/>
    <w:rsid w:val="004E0503"/>
    <w:rsid w:val="004E060F"/>
    <w:rsid w:val="004E1EA5"/>
    <w:rsid w:val="004E2405"/>
    <w:rsid w:val="004E2A8D"/>
    <w:rsid w:val="004E2B71"/>
    <w:rsid w:val="004E3183"/>
    <w:rsid w:val="004E343C"/>
    <w:rsid w:val="004E3B3D"/>
    <w:rsid w:val="004E435B"/>
    <w:rsid w:val="004E497F"/>
    <w:rsid w:val="004E4A7F"/>
    <w:rsid w:val="004E53BC"/>
    <w:rsid w:val="004E55E7"/>
    <w:rsid w:val="004E6252"/>
    <w:rsid w:val="004E6F7C"/>
    <w:rsid w:val="004E72BD"/>
    <w:rsid w:val="004F0753"/>
    <w:rsid w:val="004F1D77"/>
    <w:rsid w:val="004F250F"/>
    <w:rsid w:val="004F34F0"/>
    <w:rsid w:val="004F3A1C"/>
    <w:rsid w:val="004F3A4C"/>
    <w:rsid w:val="004F409D"/>
    <w:rsid w:val="004F41C8"/>
    <w:rsid w:val="004F433C"/>
    <w:rsid w:val="004F611F"/>
    <w:rsid w:val="00500D15"/>
    <w:rsid w:val="005016AA"/>
    <w:rsid w:val="00501A04"/>
    <w:rsid w:val="0050259C"/>
    <w:rsid w:val="00502C64"/>
    <w:rsid w:val="0050368E"/>
    <w:rsid w:val="005056D0"/>
    <w:rsid w:val="00506105"/>
    <w:rsid w:val="0050686A"/>
    <w:rsid w:val="00506C5E"/>
    <w:rsid w:val="00506DE5"/>
    <w:rsid w:val="00507018"/>
    <w:rsid w:val="005075FB"/>
    <w:rsid w:val="0050774D"/>
    <w:rsid w:val="0051122D"/>
    <w:rsid w:val="00514213"/>
    <w:rsid w:val="00514BEE"/>
    <w:rsid w:val="005150BD"/>
    <w:rsid w:val="005172EA"/>
    <w:rsid w:val="005200CC"/>
    <w:rsid w:val="005203C1"/>
    <w:rsid w:val="0052094A"/>
    <w:rsid w:val="00521131"/>
    <w:rsid w:val="00521411"/>
    <w:rsid w:val="00522320"/>
    <w:rsid w:val="00522635"/>
    <w:rsid w:val="00522A3C"/>
    <w:rsid w:val="005232CC"/>
    <w:rsid w:val="0052346C"/>
    <w:rsid w:val="00523649"/>
    <w:rsid w:val="00523852"/>
    <w:rsid w:val="00523E07"/>
    <w:rsid w:val="0052424D"/>
    <w:rsid w:val="00524544"/>
    <w:rsid w:val="005251ED"/>
    <w:rsid w:val="005254A5"/>
    <w:rsid w:val="0052563D"/>
    <w:rsid w:val="00526D4C"/>
    <w:rsid w:val="00527087"/>
    <w:rsid w:val="005275BB"/>
    <w:rsid w:val="00527635"/>
    <w:rsid w:val="005278F6"/>
    <w:rsid w:val="0053063D"/>
    <w:rsid w:val="00533056"/>
    <w:rsid w:val="00533749"/>
    <w:rsid w:val="00533923"/>
    <w:rsid w:val="00533F2B"/>
    <w:rsid w:val="005346CA"/>
    <w:rsid w:val="005348CA"/>
    <w:rsid w:val="00534B84"/>
    <w:rsid w:val="005357BE"/>
    <w:rsid w:val="0053611C"/>
    <w:rsid w:val="005400B5"/>
    <w:rsid w:val="00540143"/>
    <w:rsid w:val="00540ACD"/>
    <w:rsid w:val="00541B11"/>
    <w:rsid w:val="005436FD"/>
    <w:rsid w:val="00543778"/>
    <w:rsid w:val="005437B4"/>
    <w:rsid w:val="00544578"/>
    <w:rsid w:val="005450A4"/>
    <w:rsid w:val="00547C61"/>
    <w:rsid w:val="00547C9F"/>
    <w:rsid w:val="00550F02"/>
    <w:rsid w:val="0055139A"/>
    <w:rsid w:val="0055187D"/>
    <w:rsid w:val="00551B3C"/>
    <w:rsid w:val="00551F84"/>
    <w:rsid w:val="0055225A"/>
    <w:rsid w:val="005523B0"/>
    <w:rsid w:val="00552BB9"/>
    <w:rsid w:val="00552F27"/>
    <w:rsid w:val="0055425D"/>
    <w:rsid w:val="00554299"/>
    <w:rsid w:val="00555D3B"/>
    <w:rsid w:val="005569E2"/>
    <w:rsid w:val="005578D0"/>
    <w:rsid w:val="0055796E"/>
    <w:rsid w:val="005579E0"/>
    <w:rsid w:val="00557EDB"/>
    <w:rsid w:val="00560106"/>
    <w:rsid w:val="005601F5"/>
    <w:rsid w:val="005603D9"/>
    <w:rsid w:val="00560DFC"/>
    <w:rsid w:val="00563596"/>
    <w:rsid w:val="0056382E"/>
    <w:rsid w:val="00564202"/>
    <w:rsid w:val="005657A0"/>
    <w:rsid w:val="00565CAA"/>
    <w:rsid w:val="00565EFA"/>
    <w:rsid w:val="00567417"/>
    <w:rsid w:val="0056751A"/>
    <w:rsid w:val="00570AA2"/>
    <w:rsid w:val="00570BE9"/>
    <w:rsid w:val="00570EB7"/>
    <w:rsid w:val="00571302"/>
    <w:rsid w:val="00571BFC"/>
    <w:rsid w:val="00572382"/>
    <w:rsid w:val="005724D9"/>
    <w:rsid w:val="005737B7"/>
    <w:rsid w:val="00575449"/>
    <w:rsid w:val="00575A88"/>
    <w:rsid w:val="00576139"/>
    <w:rsid w:val="00577241"/>
    <w:rsid w:val="00577600"/>
    <w:rsid w:val="00577811"/>
    <w:rsid w:val="005800D4"/>
    <w:rsid w:val="00580489"/>
    <w:rsid w:val="00580970"/>
    <w:rsid w:val="00580E4A"/>
    <w:rsid w:val="00581B66"/>
    <w:rsid w:val="00583894"/>
    <w:rsid w:val="00583B93"/>
    <w:rsid w:val="005848E3"/>
    <w:rsid w:val="00584D0D"/>
    <w:rsid w:val="00585E18"/>
    <w:rsid w:val="00586845"/>
    <w:rsid w:val="0058753E"/>
    <w:rsid w:val="00587A1E"/>
    <w:rsid w:val="00587E08"/>
    <w:rsid w:val="005920BB"/>
    <w:rsid w:val="00592E7E"/>
    <w:rsid w:val="005931EA"/>
    <w:rsid w:val="0059352E"/>
    <w:rsid w:val="00593ABF"/>
    <w:rsid w:val="00593C00"/>
    <w:rsid w:val="00593EA8"/>
    <w:rsid w:val="00594867"/>
    <w:rsid w:val="00594BE3"/>
    <w:rsid w:val="00595286"/>
    <w:rsid w:val="00595439"/>
    <w:rsid w:val="00595A57"/>
    <w:rsid w:val="0059634B"/>
    <w:rsid w:val="00596BC6"/>
    <w:rsid w:val="00597D3C"/>
    <w:rsid w:val="00597EDB"/>
    <w:rsid w:val="005A20BE"/>
    <w:rsid w:val="005A24EC"/>
    <w:rsid w:val="005A28A7"/>
    <w:rsid w:val="005A343F"/>
    <w:rsid w:val="005A3B59"/>
    <w:rsid w:val="005A4DD6"/>
    <w:rsid w:val="005A5B21"/>
    <w:rsid w:val="005A66C4"/>
    <w:rsid w:val="005A73C6"/>
    <w:rsid w:val="005A74FA"/>
    <w:rsid w:val="005B18FE"/>
    <w:rsid w:val="005B2C53"/>
    <w:rsid w:val="005B3235"/>
    <w:rsid w:val="005B3C14"/>
    <w:rsid w:val="005B3E14"/>
    <w:rsid w:val="005B410D"/>
    <w:rsid w:val="005B495F"/>
    <w:rsid w:val="005B4A52"/>
    <w:rsid w:val="005B4BAD"/>
    <w:rsid w:val="005B55CC"/>
    <w:rsid w:val="005B612B"/>
    <w:rsid w:val="005B6367"/>
    <w:rsid w:val="005B6B5A"/>
    <w:rsid w:val="005B6D78"/>
    <w:rsid w:val="005B6E3E"/>
    <w:rsid w:val="005B776C"/>
    <w:rsid w:val="005C1802"/>
    <w:rsid w:val="005C1ACC"/>
    <w:rsid w:val="005C1EF8"/>
    <w:rsid w:val="005C27D8"/>
    <w:rsid w:val="005C3E80"/>
    <w:rsid w:val="005C47FB"/>
    <w:rsid w:val="005C544A"/>
    <w:rsid w:val="005C554F"/>
    <w:rsid w:val="005C5D70"/>
    <w:rsid w:val="005C63DC"/>
    <w:rsid w:val="005C67C2"/>
    <w:rsid w:val="005C6E18"/>
    <w:rsid w:val="005D0EE5"/>
    <w:rsid w:val="005D14EA"/>
    <w:rsid w:val="005D3A5C"/>
    <w:rsid w:val="005D4C5A"/>
    <w:rsid w:val="005D5190"/>
    <w:rsid w:val="005D56D2"/>
    <w:rsid w:val="005D6394"/>
    <w:rsid w:val="005D67C7"/>
    <w:rsid w:val="005D7197"/>
    <w:rsid w:val="005D74F0"/>
    <w:rsid w:val="005E0DF2"/>
    <w:rsid w:val="005E14A0"/>
    <w:rsid w:val="005E5AA5"/>
    <w:rsid w:val="005E60FD"/>
    <w:rsid w:val="005E6DA6"/>
    <w:rsid w:val="005E6DFB"/>
    <w:rsid w:val="005F013E"/>
    <w:rsid w:val="005F0E61"/>
    <w:rsid w:val="005F138F"/>
    <w:rsid w:val="005F30DB"/>
    <w:rsid w:val="005F3462"/>
    <w:rsid w:val="005F6A94"/>
    <w:rsid w:val="005F7462"/>
    <w:rsid w:val="005F74B6"/>
    <w:rsid w:val="005F7647"/>
    <w:rsid w:val="005F79E0"/>
    <w:rsid w:val="005F7EBE"/>
    <w:rsid w:val="006025E5"/>
    <w:rsid w:val="006028F1"/>
    <w:rsid w:val="00602F05"/>
    <w:rsid w:val="00603116"/>
    <w:rsid w:val="00604667"/>
    <w:rsid w:val="006049FE"/>
    <w:rsid w:val="00604F18"/>
    <w:rsid w:val="006056DF"/>
    <w:rsid w:val="00606553"/>
    <w:rsid w:val="00606E8D"/>
    <w:rsid w:val="0060756F"/>
    <w:rsid w:val="00607B81"/>
    <w:rsid w:val="00610243"/>
    <w:rsid w:val="0061059D"/>
    <w:rsid w:val="00611990"/>
    <w:rsid w:val="00611DA3"/>
    <w:rsid w:val="00612903"/>
    <w:rsid w:val="00613E18"/>
    <w:rsid w:val="00615439"/>
    <w:rsid w:val="00615A6B"/>
    <w:rsid w:val="00616637"/>
    <w:rsid w:val="00616B14"/>
    <w:rsid w:val="0061771E"/>
    <w:rsid w:val="00617C95"/>
    <w:rsid w:val="00620086"/>
    <w:rsid w:val="006208F8"/>
    <w:rsid w:val="00621B9B"/>
    <w:rsid w:val="00622E3E"/>
    <w:rsid w:val="00624401"/>
    <w:rsid w:val="0062477E"/>
    <w:rsid w:val="00624BD2"/>
    <w:rsid w:val="00624FD0"/>
    <w:rsid w:val="00625B57"/>
    <w:rsid w:val="00625E0E"/>
    <w:rsid w:val="0062710A"/>
    <w:rsid w:val="00630BE1"/>
    <w:rsid w:val="0063158C"/>
    <w:rsid w:val="00631F94"/>
    <w:rsid w:val="00632790"/>
    <w:rsid w:val="006332A6"/>
    <w:rsid w:val="00633ADC"/>
    <w:rsid w:val="00636017"/>
    <w:rsid w:val="00636446"/>
    <w:rsid w:val="00637914"/>
    <w:rsid w:val="00640699"/>
    <w:rsid w:val="006409FE"/>
    <w:rsid w:val="00641178"/>
    <w:rsid w:val="00641989"/>
    <w:rsid w:val="00642846"/>
    <w:rsid w:val="00642B2A"/>
    <w:rsid w:val="00642FB7"/>
    <w:rsid w:val="0064357F"/>
    <w:rsid w:val="006436EF"/>
    <w:rsid w:val="006448EA"/>
    <w:rsid w:val="00645D50"/>
    <w:rsid w:val="006463AD"/>
    <w:rsid w:val="00646688"/>
    <w:rsid w:val="006468FC"/>
    <w:rsid w:val="00646FE7"/>
    <w:rsid w:val="00650909"/>
    <w:rsid w:val="0065165E"/>
    <w:rsid w:val="00652182"/>
    <w:rsid w:val="006528E2"/>
    <w:rsid w:val="0065368B"/>
    <w:rsid w:val="00653D56"/>
    <w:rsid w:val="00653DFB"/>
    <w:rsid w:val="00654DFE"/>
    <w:rsid w:val="006551D4"/>
    <w:rsid w:val="00656708"/>
    <w:rsid w:val="00657B21"/>
    <w:rsid w:val="006608E2"/>
    <w:rsid w:val="006619AE"/>
    <w:rsid w:val="00661E4B"/>
    <w:rsid w:val="00662781"/>
    <w:rsid w:val="006634E2"/>
    <w:rsid w:val="00664047"/>
    <w:rsid w:val="00664F6E"/>
    <w:rsid w:val="00666781"/>
    <w:rsid w:val="00670119"/>
    <w:rsid w:val="00671E65"/>
    <w:rsid w:val="0067237D"/>
    <w:rsid w:val="006732D9"/>
    <w:rsid w:val="0067609A"/>
    <w:rsid w:val="006761D7"/>
    <w:rsid w:val="006774C0"/>
    <w:rsid w:val="00680CEA"/>
    <w:rsid w:val="00680DA7"/>
    <w:rsid w:val="0068340A"/>
    <w:rsid w:val="00683ED9"/>
    <w:rsid w:val="00684085"/>
    <w:rsid w:val="00684153"/>
    <w:rsid w:val="006847C8"/>
    <w:rsid w:val="00684E89"/>
    <w:rsid w:val="0068550E"/>
    <w:rsid w:val="00685521"/>
    <w:rsid w:val="006877C2"/>
    <w:rsid w:val="00690B65"/>
    <w:rsid w:val="00692DFA"/>
    <w:rsid w:val="0069350C"/>
    <w:rsid w:val="00693C77"/>
    <w:rsid w:val="006966FA"/>
    <w:rsid w:val="00696BE1"/>
    <w:rsid w:val="006975AF"/>
    <w:rsid w:val="006976A0"/>
    <w:rsid w:val="00697CCD"/>
    <w:rsid w:val="006A0346"/>
    <w:rsid w:val="006A101F"/>
    <w:rsid w:val="006A1809"/>
    <w:rsid w:val="006A1985"/>
    <w:rsid w:val="006A1BD3"/>
    <w:rsid w:val="006A2172"/>
    <w:rsid w:val="006A26DF"/>
    <w:rsid w:val="006A4EED"/>
    <w:rsid w:val="006A5C28"/>
    <w:rsid w:val="006A73BF"/>
    <w:rsid w:val="006A78F2"/>
    <w:rsid w:val="006A7A08"/>
    <w:rsid w:val="006B1064"/>
    <w:rsid w:val="006B13ED"/>
    <w:rsid w:val="006B20D9"/>
    <w:rsid w:val="006B229A"/>
    <w:rsid w:val="006B22C9"/>
    <w:rsid w:val="006B3388"/>
    <w:rsid w:val="006B3E11"/>
    <w:rsid w:val="006B4495"/>
    <w:rsid w:val="006B4515"/>
    <w:rsid w:val="006B6707"/>
    <w:rsid w:val="006B6B56"/>
    <w:rsid w:val="006B6BC3"/>
    <w:rsid w:val="006C1C24"/>
    <w:rsid w:val="006C1D45"/>
    <w:rsid w:val="006C242C"/>
    <w:rsid w:val="006C2E57"/>
    <w:rsid w:val="006C3074"/>
    <w:rsid w:val="006C32E7"/>
    <w:rsid w:val="006C4535"/>
    <w:rsid w:val="006C4849"/>
    <w:rsid w:val="006C485A"/>
    <w:rsid w:val="006C5628"/>
    <w:rsid w:val="006C5AC1"/>
    <w:rsid w:val="006C5BC8"/>
    <w:rsid w:val="006C5F6A"/>
    <w:rsid w:val="006C6451"/>
    <w:rsid w:val="006C7547"/>
    <w:rsid w:val="006D0091"/>
    <w:rsid w:val="006D05A8"/>
    <w:rsid w:val="006D190D"/>
    <w:rsid w:val="006D251A"/>
    <w:rsid w:val="006D3C3B"/>
    <w:rsid w:val="006D3D8D"/>
    <w:rsid w:val="006D48D3"/>
    <w:rsid w:val="006D6AAF"/>
    <w:rsid w:val="006E000F"/>
    <w:rsid w:val="006E16A8"/>
    <w:rsid w:val="006E1A1F"/>
    <w:rsid w:val="006E22CC"/>
    <w:rsid w:val="006E23AC"/>
    <w:rsid w:val="006E2484"/>
    <w:rsid w:val="006E2D63"/>
    <w:rsid w:val="006E32FE"/>
    <w:rsid w:val="006E3D46"/>
    <w:rsid w:val="006E490F"/>
    <w:rsid w:val="006E4C7D"/>
    <w:rsid w:val="006E50FB"/>
    <w:rsid w:val="006E552C"/>
    <w:rsid w:val="006E5F03"/>
    <w:rsid w:val="006E62B7"/>
    <w:rsid w:val="006E6305"/>
    <w:rsid w:val="006E63D6"/>
    <w:rsid w:val="006E63E8"/>
    <w:rsid w:val="006E6C93"/>
    <w:rsid w:val="006E7487"/>
    <w:rsid w:val="006E764C"/>
    <w:rsid w:val="006E7B85"/>
    <w:rsid w:val="006F0654"/>
    <w:rsid w:val="006F0FCA"/>
    <w:rsid w:val="006F1029"/>
    <w:rsid w:val="006F264B"/>
    <w:rsid w:val="006F3B09"/>
    <w:rsid w:val="006F5FFC"/>
    <w:rsid w:val="006F68E6"/>
    <w:rsid w:val="007030A0"/>
    <w:rsid w:val="00705278"/>
    <w:rsid w:val="007056EF"/>
    <w:rsid w:val="00706090"/>
    <w:rsid w:val="00706A6E"/>
    <w:rsid w:val="00707E50"/>
    <w:rsid w:val="00710647"/>
    <w:rsid w:val="0071080E"/>
    <w:rsid w:val="0071084E"/>
    <w:rsid w:val="00710E15"/>
    <w:rsid w:val="0071202C"/>
    <w:rsid w:val="0071226A"/>
    <w:rsid w:val="007127FB"/>
    <w:rsid w:val="00712CE0"/>
    <w:rsid w:val="00712E4A"/>
    <w:rsid w:val="00713EBC"/>
    <w:rsid w:val="00714456"/>
    <w:rsid w:val="007165FA"/>
    <w:rsid w:val="00717291"/>
    <w:rsid w:val="00720CE8"/>
    <w:rsid w:val="007214EE"/>
    <w:rsid w:val="00721D3A"/>
    <w:rsid w:val="007242FB"/>
    <w:rsid w:val="007257A2"/>
    <w:rsid w:val="00725D6C"/>
    <w:rsid w:val="00725F9D"/>
    <w:rsid w:val="007308DA"/>
    <w:rsid w:val="00730DDE"/>
    <w:rsid w:val="0073131B"/>
    <w:rsid w:val="00731FA0"/>
    <w:rsid w:val="0073205C"/>
    <w:rsid w:val="0073212F"/>
    <w:rsid w:val="00732DE9"/>
    <w:rsid w:val="007340FF"/>
    <w:rsid w:val="0073481B"/>
    <w:rsid w:val="00734FA9"/>
    <w:rsid w:val="007356C3"/>
    <w:rsid w:val="00741923"/>
    <w:rsid w:val="00741E78"/>
    <w:rsid w:val="00742BD8"/>
    <w:rsid w:val="00743A9A"/>
    <w:rsid w:val="00744141"/>
    <w:rsid w:val="007447BF"/>
    <w:rsid w:val="00744802"/>
    <w:rsid w:val="007455AA"/>
    <w:rsid w:val="00745A13"/>
    <w:rsid w:val="007464C4"/>
    <w:rsid w:val="0074674E"/>
    <w:rsid w:val="00747CCD"/>
    <w:rsid w:val="00751CA8"/>
    <w:rsid w:val="0075249C"/>
    <w:rsid w:val="00752A03"/>
    <w:rsid w:val="00753EEE"/>
    <w:rsid w:val="00754665"/>
    <w:rsid w:val="00754B00"/>
    <w:rsid w:val="00754BAE"/>
    <w:rsid w:val="0075566D"/>
    <w:rsid w:val="00757B19"/>
    <w:rsid w:val="00757DE8"/>
    <w:rsid w:val="00761204"/>
    <w:rsid w:val="00763CD4"/>
    <w:rsid w:val="00764330"/>
    <w:rsid w:val="0076447A"/>
    <w:rsid w:val="00765793"/>
    <w:rsid w:val="0076590D"/>
    <w:rsid w:val="00765DA0"/>
    <w:rsid w:val="00766388"/>
    <w:rsid w:val="00767659"/>
    <w:rsid w:val="0077001E"/>
    <w:rsid w:val="00770152"/>
    <w:rsid w:val="007707CB"/>
    <w:rsid w:val="00771223"/>
    <w:rsid w:val="00771628"/>
    <w:rsid w:val="007741DF"/>
    <w:rsid w:val="0077453F"/>
    <w:rsid w:val="0077460E"/>
    <w:rsid w:val="007746CE"/>
    <w:rsid w:val="007748F0"/>
    <w:rsid w:val="007771D3"/>
    <w:rsid w:val="00777C60"/>
    <w:rsid w:val="00780D33"/>
    <w:rsid w:val="00781120"/>
    <w:rsid w:val="00781A95"/>
    <w:rsid w:val="00782983"/>
    <w:rsid w:val="00783591"/>
    <w:rsid w:val="00783F4F"/>
    <w:rsid w:val="0078419E"/>
    <w:rsid w:val="007847CF"/>
    <w:rsid w:val="0078582D"/>
    <w:rsid w:val="0078597C"/>
    <w:rsid w:val="00785CCF"/>
    <w:rsid w:val="00785F5E"/>
    <w:rsid w:val="00785FE0"/>
    <w:rsid w:val="00786FB5"/>
    <w:rsid w:val="00786FDE"/>
    <w:rsid w:val="007875D7"/>
    <w:rsid w:val="00790894"/>
    <w:rsid w:val="00791232"/>
    <w:rsid w:val="00791242"/>
    <w:rsid w:val="0079136E"/>
    <w:rsid w:val="00792C6E"/>
    <w:rsid w:val="0079381A"/>
    <w:rsid w:val="00795192"/>
    <w:rsid w:val="00795897"/>
    <w:rsid w:val="00795B03"/>
    <w:rsid w:val="00796BF9"/>
    <w:rsid w:val="007974F2"/>
    <w:rsid w:val="007A0616"/>
    <w:rsid w:val="007A0726"/>
    <w:rsid w:val="007A08EE"/>
    <w:rsid w:val="007A1287"/>
    <w:rsid w:val="007A1B82"/>
    <w:rsid w:val="007A1ED1"/>
    <w:rsid w:val="007A27CE"/>
    <w:rsid w:val="007A3E4E"/>
    <w:rsid w:val="007A4084"/>
    <w:rsid w:val="007A4143"/>
    <w:rsid w:val="007A4D2A"/>
    <w:rsid w:val="007A5AD0"/>
    <w:rsid w:val="007A6503"/>
    <w:rsid w:val="007A749B"/>
    <w:rsid w:val="007A7BAC"/>
    <w:rsid w:val="007A7E2C"/>
    <w:rsid w:val="007B21F9"/>
    <w:rsid w:val="007B33C1"/>
    <w:rsid w:val="007B4031"/>
    <w:rsid w:val="007B40CD"/>
    <w:rsid w:val="007B42F3"/>
    <w:rsid w:val="007B4529"/>
    <w:rsid w:val="007B5A0B"/>
    <w:rsid w:val="007B76C0"/>
    <w:rsid w:val="007B7F51"/>
    <w:rsid w:val="007C0547"/>
    <w:rsid w:val="007C1643"/>
    <w:rsid w:val="007C22B2"/>
    <w:rsid w:val="007C2BC3"/>
    <w:rsid w:val="007C5613"/>
    <w:rsid w:val="007C6272"/>
    <w:rsid w:val="007C69BA"/>
    <w:rsid w:val="007D1FE8"/>
    <w:rsid w:val="007D27F7"/>
    <w:rsid w:val="007D3717"/>
    <w:rsid w:val="007D3C07"/>
    <w:rsid w:val="007D565B"/>
    <w:rsid w:val="007E002E"/>
    <w:rsid w:val="007E06AC"/>
    <w:rsid w:val="007E0824"/>
    <w:rsid w:val="007E10DB"/>
    <w:rsid w:val="007E1529"/>
    <w:rsid w:val="007E1635"/>
    <w:rsid w:val="007E18D4"/>
    <w:rsid w:val="007E4F48"/>
    <w:rsid w:val="007E554B"/>
    <w:rsid w:val="007E5840"/>
    <w:rsid w:val="007E5D55"/>
    <w:rsid w:val="007E6611"/>
    <w:rsid w:val="007E7603"/>
    <w:rsid w:val="007F0955"/>
    <w:rsid w:val="007F0C25"/>
    <w:rsid w:val="007F1777"/>
    <w:rsid w:val="007F2FC3"/>
    <w:rsid w:val="007F32D5"/>
    <w:rsid w:val="007F3B51"/>
    <w:rsid w:val="007F51F1"/>
    <w:rsid w:val="007F5F9E"/>
    <w:rsid w:val="007F6CFA"/>
    <w:rsid w:val="007F70CC"/>
    <w:rsid w:val="007F7DC7"/>
    <w:rsid w:val="00800A5D"/>
    <w:rsid w:val="0080229C"/>
    <w:rsid w:val="00802A76"/>
    <w:rsid w:val="00803B96"/>
    <w:rsid w:val="00803E1F"/>
    <w:rsid w:val="00804013"/>
    <w:rsid w:val="00804247"/>
    <w:rsid w:val="00804727"/>
    <w:rsid w:val="00804EFA"/>
    <w:rsid w:val="00806793"/>
    <w:rsid w:val="0081198C"/>
    <w:rsid w:val="008120AF"/>
    <w:rsid w:val="008128CD"/>
    <w:rsid w:val="00812C6B"/>
    <w:rsid w:val="008137ED"/>
    <w:rsid w:val="00814207"/>
    <w:rsid w:val="00815529"/>
    <w:rsid w:val="008156D7"/>
    <w:rsid w:val="00815CB5"/>
    <w:rsid w:val="0081612F"/>
    <w:rsid w:val="008161A8"/>
    <w:rsid w:val="008177CA"/>
    <w:rsid w:val="00817A0E"/>
    <w:rsid w:val="00820086"/>
    <w:rsid w:val="008202D3"/>
    <w:rsid w:val="00820790"/>
    <w:rsid w:val="008221C0"/>
    <w:rsid w:val="00822278"/>
    <w:rsid w:val="008239CF"/>
    <w:rsid w:val="00823F43"/>
    <w:rsid w:val="008246DB"/>
    <w:rsid w:val="00824C94"/>
    <w:rsid w:val="00825491"/>
    <w:rsid w:val="00827DA5"/>
    <w:rsid w:val="008308CD"/>
    <w:rsid w:val="00831477"/>
    <w:rsid w:val="008320EE"/>
    <w:rsid w:val="008332D6"/>
    <w:rsid w:val="008337DA"/>
    <w:rsid w:val="00833E68"/>
    <w:rsid w:val="008340C6"/>
    <w:rsid w:val="008349FA"/>
    <w:rsid w:val="00834CF3"/>
    <w:rsid w:val="00835FD2"/>
    <w:rsid w:val="00836121"/>
    <w:rsid w:val="00836304"/>
    <w:rsid w:val="00836C8F"/>
    <w:rsid w:val="008370BF"/>
    <w:rsid w:val="0083721A"/>
    <w:rsid w:val="00837AF7"/>
    <w:rsid w:val="00840F7A"/>
    <w:rsid w:val="008418BA"/>
    <w:rsid w:val="00841DE8"/>
    <w:rsid w:val="00842332"/>
    <w:rsid w:val="00842843"/>
    <w:rsid w:val="008443D9"/>
    <w:rsid w:val="00846166"/>
    <w:rsid w:val="00846DB3"/>
    <w:rsid w:val="00846ED3"/>
    <w:rsid w:val="00847450"/>
    <w:rsid w:val="00847C2A"/>
    <w:rsid w:val="00850671"/>
    <w:rsid w:val="00850749"/>
    <w:rsid w:val="0085152B"/>
    <w:rsid w:val="00851677"/>
    <w:rsid w:val="00851EB1"/>
    <w:rsid w:val="008526B5"/>
    <w:rsid w:val="008527EC"/>
    <w:rsid w:val="008532D2"/>
    <w:rsid w:val="008547B1"/>
    <w:rsid w:val="00854D8A"/>
    <w:rsid w:val="0085501B"/>
    <w:rsid w:val="00856E73"/>
    <w:rsid w:val="0085734C"/>
    <w:rsid w:val="008608C1"/>
    <w:rsid w:val="00860D25"/>
    <w:rsid w:val="00861471"/>
    <w:rsid w:val="008617A7"/>
    <w:rsid w:val="00861BED"/>
    <w:rsid w:val="00862857"/>
    <w:rsid w:val="00866CDB"/>
    <w:rsid w:val="00867915"/>
    <w:rsid w:val="00867937"/>
    <w:rsid w:val="008705B4"/>
    <w:rsid w:val="00872E05"/>
    <w:rsid w:val="008738E3"/>
    <w:rsid w:val="00874860"/>
    <w:rsid w:val="00875A49"/>
    <w:rsid w:val="00876DC8"/>
    <w:rsid w:val="0087740C"/>
    <w:rsid w:val="00877411"/>
    <w:rsid w:val="00877703"/>
    <w:rsid w:val="00877BCF"/>
    <w:rsid w:val="008806D4"/>
    <w:rsid w:val="00881613"/>
    <w:rsid w:val="00881C37"/>
    <w:rsid w:val="0088334B"/>
    <w:rsid w:val="008837C3"/>
    <w:rsid w:val="008837D2"/>
    <w:rsid w:val="00884575"/>
    <w:rsid w:val="008847A8"/>
    <w:rsid w:val="00885DBA"/>
    <w:rsid w:val="00885EE2"/>
    <w:rsid w:val="008861E3"/>
    <w:rsid w:val="00887626"/>
    <w:rsid w:val="00887ED4"/>
    <w:rsid w:val="00887F33"/>
    <w:rsid w:val="008920F3"/>
    <w:rsid w:val="008926DF"/>
    <w:rsid w:val="0089300A"/>
    <w:rsid w:val="008939FF"/>
    <w:rsid w:val="00893C26"/>
    <w:rsid w:val="008949E5"/>
    <w:rsid w:val="00894EBF"/>
    <w:rsid w:val="008954E8"/>
    <w:rsid w:val="0089553C"/>
    <w:rsid w:val="0089669B"/>
    <w:rsid w:val="00896C9D"/>
    <w:rsid w:val="00896F0B"/>
    <w:rsid w:val="008970B1"/>
    <w:rsid w:val="00897BD3"/>
    <w:rsid w:val="008A040E"/>
    <w:rsid w:val="008A0D13"/>
    <w:rsid w:val="008A0F27"/>
    <w:rsid w:val="008A2877"/>
    <w:rsid w:val="008A36A7"/>
    <w:rsid w:val="008A3A77"/>
    <w:rsid w:val="008A4753"/>
    <w:rsid w:val="008A51B6"/>
    <w:rsid w:val="008A5385"/>
    <w:rsid w:val="008B0065"/>
    <w:rsid w:val="008B0623"/>
    <w:rsid w:val="008B0790"/>
    <w:rsid w:val="008B119E"/>
    <w:rsid w:val="008B3DC6"/>
    <w:rsid w:val="008B4C3A"/>
    <w:rsid w:val="008B66D0"/>
    <w:rsid w:val="008B6A5E"/>
    <w:rsid w:val="008B6D0A"/>
    <w:rsid w:val="008B6E33"/>
    <w:rsid w:val="008B7EE3"/>
    <w:rsid w:val="008B7EFB"/>
    <w:rsid w:val="008C0221"/>
    <w:rsid w:val="008C0970"/>
    <w:rsid w:val="008C0DE7"/>
    <w:rsid w:val="008C0E71"/>
    <w:rsid w:val="008C1124"/>
    <w:rsid w:val="008C1384"/>
    <w:rsid w:val="008C501E"/>
    <w:rsid w:val="008C6BAE"/>
    <w:rsid w:val="008C781D"/>
    <w:rsid w:val="008C7822"/>
    <w:rsid w:val="008C7900"/>
    <w:rsid w:val="008C7DDE"/>
    <w:rsid w:val="008D0CB2"/>
    <w:rsid w:val="008D2172"/>
    <w:rsid w:val="008D2858"/>
    <w:rsid w:val="008D343A"/>
    <w:rsid w:val="008D47A3"/>
    <w:rsid w:val="008D5C55"/>
    <w:rsid w:val="008D6AE6"/>
    <w:rsid w:val="008D7CC6"/>
    <w:rsid w:val="008D7D43"/>
    <w:rsid w:val="008E038D"/>
    <w:rsid w:val="008E2F30"/>
    <w:rsid w:val="008E335E"/>
    <w:rsid w:val="008E3F58"/>
    <w:rsid w:val="008E4153"/>
    <w:rsid w:val="008E6541"/>
    <w:rsid w:val="008E73B0"/>
    <w:rsid w:val="008E7D83"/>
    <w:rsid w:val="008F1021"/>
    <w:rsid w:val="008F12C1"/>
    <w:rsid w:val="008F19EB"/>
    <w:rsid w:val="008F22E1"/>
    <w:rsid w:val="008F2338"/>
    <w:rsid w:val="008F237F"/>
    <w:rsid w:val="008F2B3E"/>
    <w:rsid w:val="008F2EC3"/>
    <w:rsid w:val="008F3B69"/>
    <w:rsid w:val="008F46A4"/>
    <w:rsid w:val="008F4C53"/>
    <w:rsid w:val="008F4F96"/>
    <w:rsid w:val="008F547C"/>
    <w:rsid w:val="008F5DC4"/>
    <w:rsid w:val="00900749"/>
    <w:rsid w:val="0090118F"/>
    <w:rsid w:val="0090141D"/>
    <w:rsid w:val="00901E2F"/>
    <w:rsid w:val="00901F17"/>
    <w:rsid w:val="009049A6"/>
    <w:rsid w:val="0090576A"/>
    <w:rsid w:val="00905C2A"/>
    <w:rsid w:val="00906489"/>
    <w:rsid w:val="0090740C"/>
    <w:rsid w:val="0091023B"/>
    <w:rsid w:val="009105D2"/>
    <w:rsid w:val="00910710"/>
    <w:rsid w:val="00912DBD"/>
    <w:rsid w:val="00912EB8"/>
    <w:rsid w:val="0091374D"/>
    <w:rsid w:val="0091462C"/>
    <w:rsid w:val="00915873"/>
    <w:rsid w:val="00916462"/>
    <w:rsid w:val="00917467"/>
    <w:rsid w:val="00917518"/>
    <w:rsid w:val="009178B7"/>
    <w:rsid w:val="00920251"/>
    <w:rsid w:val="00920AD0"/>
    <w:rsid w:val="009213F7"/>
    <w:rsid w:val="00922971"/>
    <w:rsid w:val="00923641"/>
    <w:rsid w:val="00923A96"/>
    <w:rsid w:val="00924323"/>
    <w:rsid w:val="00926521"/>
    <w:rsid w:val="00926A2A"/>
    <w:rsid w:val="00927A65"/>
    <w:rsid w:val="009306B3"/>
    <w:rsid w:val="00933DBA"/>
    <w:rsid w:val="00934289"/>
    <w:rsid w:val="0093565F"/>
    <w:rsid w:val="00935F08"/>
    <w:rsid w:val="0093601E"/>
    <w:rsid w:val="00936FF9"/>
    <w:rsid w:val="009375FB"/>
    <w:rsid w:val="00937E50"/>
    <w:rsid w:val="00940DA9"/>
    <w:rsid w:val="0094138C"/>
    <w:rsid w:val="0094203B"/>
    <w:rsid w:val="00942BBC"/>
    <w:rsid w:val="00944010"/>
    <w:rsid w:val="009441B8"/>
    <w:rsid w:val="009451EA"/>
    <w:rsid w:val="00945689"/>
    <w:rsid w:val="0094634A"/>
    <w:rsid w:val="0094644A"/>
    <w:rsid w:val="00946DB5"/>
    <w:rsid w:val="00950A87"/>
    <w:rsid w:val="009519DA"/>
    <w:rsid w:val="009539F0"/>
    <w:rsid w:val="00954046"/>
    <w:rsid w:val="009550BB"/>
    <w:rsid w:val="009570FD"/>
    <w:rsid w:val="00957379"/>
    <w:rsid w:val="009573DE"/>
    <w:rsid w:val="009613EB"/>
    <w:rsid w:val="00961869"/>
    <w:rsid w:val="00962013"/>
    <w:rsid w:val="00962D35"/>
    <w:rsid w:val="00962DD4"/>
    <w:rsid w:val="0096568A"/>
    <w:rsid w:val="0096587F"/>
    <w:rsid w:val="00965AF7"/>
    <w:rsid w:val="009661D5"/>
    <w:rsid w:val="00970C7F"/>
    <w:rsid w:val="00970D3E"/>
    <w:rsid w:val="00972912"/>
    <w:rsid w:val="0097293E"/>
    <w:rsid w:val="00973B27"/>
    <w:rsid w:val="0097488D"/>
    <w:rsid w:val="00974FEB"/>
    <w:rsid w:val="00976406"/>
    <w:rsid w:val="00976625"/>
    <w:rsid w:val="00976B7F"/>
    <w:rsid w:val="00980F18"/>
    <w:rsid w:val="009819F9"/>
    <w:rsid w:val="00982959"/>
    <w:rsid w:val="00983059"/>
    <w:rsid w:val="00983509"/>
    <w:rsid w:val="00983B60"/>
    <w:rsid w:val="00984050"/>
    <w:rsid w:val="00984599"/>
    <w:rsid w:val="009849DF"/>
    <w:rsid w:val="0098596F"/>
    <w:rsid w:val="0098634E"/>
    <w:rsid w:val="009869E2"/>
    <w:rsid w:val="00987193"/>
    <w:rsid w:val="009873F2"/>
    <w:rsid w:val="0099042B"/>
    <w:rsid w:val="009918F3"/>
    <w:rsid w:val="00991ED9"/>
    <w:rsid w:val="00992263"/>
    <w:rsid w:val="009945FA"/>
    <w:rsid w:val="00994E09"/>
    <w:rsid w:val="009960F5"/>
    <w:rsid w:val="00996452"/>
    <w:rsid w:val="009966A0"/>
    <w:rsid w:val="00996826"/>
    <w:rsid w:val="009A1319"/>
    <w:rsid w:val="009A1540"/>
    <w:rsid w:val="009A1AB8"/>
    <w:rsid w:val="009A1E23"/>
    <w:rsid w:val="009A1E6C"/>
    <w:rsid w:val="009A3F0F"/>
    <w:rsid w:val="009A57D4"/>
    <w:rsid w:val="009A6941"/>
    <w:rsid w:val="009A7226"/>
    <w:rsid w:val="009B017B"/>
    <w:rsid w:val="009B01AB"/>
    <w:rsid w:val="009B0256"/>
    <w:rsid w:val="009B0706"/>
    <w:rsid w:val="009B17B0"/>
    <w:rsid w:val="009B183D"/>
    <w:rsid w:val="009B1F55"/>
    <w:rsid w:val="009B2AC0"/>
    <w:rsid w:val="009B3078"/>
    <w:rsid w:val="009B44A5"/>
    <w:rsid w:val="009B49B0"/>
    <w:rsid w:val="009B4AFD"/>
    <w:rsid w:val="009B50C9"/>
    <w:rsid w:val="009B534B"/>
    <w:rsid w:val="009B5CCA"/>
    <w:rsid w:val="009B660C"/>
    <w:rsid w:val="009B6A29"/>
    <w:rsid w:val="009B706D"/>
    <w:rsid w:val="009B76EE"/>
    <w:rsid w:val="009C1411"/>
    <w:rsid w:val="009C1ADF"/>
    <w:rsid w:val="009C2CFB"/>
    <w:rsid w:val="009C5361"/>
    <w:rsid w:val="009C55ED"/>
    <w:rsid w:val="009C5949"/>
    <w:rsid w:val="009C6DB4"/>
    <w:rsid w:val="009C736D"/>
    <w:rsid w:val="009C78C1"/>
    <w:rsid w:val="009D475B"/>
    <w:rsid w:val="009D48AE"/>
    <w:rsid w:val="009D5645"/>
    <w:rsid w:val="009D5892"/>
    <w:rsid w:val="009D5CBB"/>
    <w:rsid w:val="009D6B8C"/>
    <w:rsid w:val="009D76FA"/>
    <w:rsid w:val="009E11D4"/>
    <w:rsid w:val="009E130C"/>
    <w:rsid w:val="009E150D"/>
    <w:rsid w:val="009E1F58"/>
    <w:rsid w:val="009E21A8"/>
    <w:rsid w:val="009E301F"/>
    <w:rsid w:val="009E3C73"/>
    <w:rsid w:val="009E5528"/>
    <w:rsid w:val="009E6C11"/>
    <w:rsid w:val="009E7108"/>
    <w:rsid w:val="009F04C4"/>
    <w:rsid w:val="009F050F"/>
    <w:rsid w:val="009F058A"/>
    <w:rsid w:val="009F11CE"/>
    <w:rsid w:val="009F16CE"/>
    <w:rsid w:val="009F19F4"/>
    <w:rsid w:val="009F2402"/>
    <w:rsid w:val="009F24E9"/>
    <w:rsid w:val="009F5409"/>
    <w:rsid w:val="009F572C"/>
    <w:rsid w:val="009F793D"/>
    <w:rsid w:val="00A002B7"/>
    <w:rsid w:val="00A003D5"/>
    <w:rsid w:val="00A011C3"/>
    <w:rsid w:val="00A01BDF"/>
    <w:rsid w:val="00A02217"/>
    <w:rsid w:val="00A02408"/>
    <w:rsid w:val="00A03629"/>
    <w:rsid w:val="00A0400E"/>
    <w:rsid w:val="00A04E93"/>
    <w:rsid w:val="00A06740"/>
    <w:rsid w:val="00A06A72"/>
    <w:rsid w:val="00A10B6C"/>
    <w:rsid w:val="00A10C94"/>
    <w:rsid w:val="00A113BB"/>
    <w:rsid w:val="00A12285"/>
    <w:rsid w:val="00A12691"/>
    <w:rsid w:val="00A1279F"/>
    <w:rsid w:val="00A13531"/>
    <w:rsid w:val="00A143DB"/>
    <w:rsid w:val="00A15B89"/>
    <w:rsid w:val="00A17AB6"/>
    <w:rsid w:val="00A201E4"/>
    <w:rsid w:val="00A20A83"/>
    <w:rsid w:val="00A21630"/>
    <w:rsid w:val="00A23778"/>
    <w:rsid w:val="00A241BB"/>
    <w:rsid w:val="00A24426"/>
    <w:rsid w:val="00A25C14"/>
    <w:rsid w:val="00A26C65"/>
    <w:rsid w:val="00A277B5"/>
    <w:rsid w:val="00A27B81"/>
    <w:rsid w:val="00A301A8"/>
    <w:rsid w:val="00A303E0"/>
    <w:rsid w:val="00A305D4"/>
    <w:rsid w:val="00A31A44"/>
    <w:rsid w:val="00A327B1"/>
    <w:rsid w:val="00A33335"/>
    <w:rsid w:val="00A338BB"/>
    <w:rsid w:val="00A34243"/>
    <w:rsid w:val="00A345FE"/>
    <w:rsid w:val="00A34675"/>
    <w:rsid w:val="00A34C4E"/>
    <w:rsid w:val="00A354DB"/>
    <w:rsid w:val="00A37C76"/>
    <w:rsid w:val="00A406BB"/>
    <w:rsid w:val="00A40707"/>
    <w:rsid w:val="00A40C92"/>
    <w:rsid w:val="00A42736"/>
    <w:rsid w:val="00A42D85"/>
    <w:rsid w:val="00A43EF5"/>
    <w:rsid w:val="00A43FF2"/>
    <w:rsid w:val="00A4491F"/>
    <w:rsid w:val="00A453C0"/>
    <w:rsid w:val="00A46094"/>
    <w:rsid w:val="00A4644F"/>
    <w:rsid w:val="00A46B63"/>
    <w:rsid w:val="00A46C55"/>
    <w:rsid w:val="00A472C5"/>
    <w:rsid w:val="00A47488"/>
    <w:rsid w:val="00A503BC"/>
    <w:rsid w:val="00A52890"/>
    <w:rsid w:val="00A53443"/>
    <w:rsid w:val="00A54DDB"/>
    <w:rsid w:val="00A5598E"/>
    <w:rsid w:val="00A56FD5"/>
    <w:rsid w:val="00A570F2"/>
    <w:rsid w:val="00A57196"/>
    <w:rsid w:val="00A60987"/>
    <w:rsid w:val="00A61267"/>
    <w:rsid w:val="00A63767"/>
    <w:rsid w:val="00A63E25"/>
    <w:rsid w:val="00A64E13"/>
    <w:rsid w:val="00A64FED"/>
    <w:rsid w:val="00A67DEC"/>
    <w:rsid w:val="00A70FBB"/>
    <w:rsid w:val="00A71BA6"/>
    <w:rsid w:val="00A72091"/>
    <w:rsid w:val="00A728F4"/>
    <w:rsid w:val="00A72E0B"/>
    <w:rsid w:val="00A72E92"/>
    <w:rsid w:val="00A73416"/>
    <w:rsid w:val="00A73964"/>
    <w:rsid w:val="00A73D1A"/>
    <w:rsid w:val="00A76FC1"/>
    <w:rsid w:val="00A77847"/>
    <w:rsid w:val="00A7796F"/>
    <w:rsid w:val="00A80232"/>
    <w:rsid w:val="00A80A2B"/>
    <w:rsid w:val="00A8144B"/>
    <w:rsid w:val="00A8265E"/>
    <w:rsid w:val="00A82F50"/>
    <w:rsid w:val="00A831C1"/>
    <w:rsid w:val="00A87017"/>
    <w:rsid w:val="00A87B91"/>
    <w:rsid w:val="00A87C28"/>
    <w:rsid w:val="00A90391"/>
    <w:rsid w:val="00A9111C"/>
    <w:rsid w:val="00A91483"/>
    <w:rsid w:val="00A915CE"/>
    <w:rsid w:val="00A91A2A"/>
    <w:rsid w:val="00A924EA"/>
    <w:rsid w:val="00A92AA1"/>
    <w:rsid w:val="00A93778"/>
    <w:rsid w:val="00A93AA9"/>
    <w:rsid w:val="00A94D3B"/>
    <w:rsid w:val="00A95C9F"/>
    <w:rsid w:val="00A970EB"/>
    <w:rsid w:val="00A973E9"/>
    <w:rsid w:val="00A97762"/>
    <w:rsid w:val="00AA03E2"/>
    <w:rsid w:val="00AA062B"/>
    <w:rsid w:val="00AA0E06"/>
    <w:rsid w:val="00AA1231"/>
    <w:rsid w:val="00AA1482"/>
    <w:rsid w:val="00AA1E82"/>
    <w:rsid w:val="00AA2640"/>
    <w:rsid w:val="00AA275B"/>
    <w:rsid w:val="00AA2F73"/>
    <w:rsid w:val="00AA329E"/>
    <w:rsid w:val="00AA4EB5"/>
    <w:rsid w:val="00AA7240"/>
    <w:rsid w:val="00AA74D3"/>
    <w:rsid w:val="00AA7912"/>
    <w:rsid w:val="00AA7C54"/>
    <w:rsid w:val="00AB07A5"/>
    <w:rsid w:val="00AB2DD0"/>
    <w:rsid w:val="00AB2E00"/>
    <w:rsid w:val="00AB4992"/>
    <w:rsid w:val="00AB534A"/>
    <w:rsid w:val="00AB575E"/>
    <w:rsid w:val="00AB5D31"/>
    <w:rsid w:val="00AB6C52"/>
    <w:rsid w:val="00AB793E"/>
    <w:rsid w:val="00AB79CE"/>
    <w:rsid w:val="00AC0256"/>
    <w:rsid w:val="00AC05A1"/>
    <w:rsid w:val="00AC25CE"/>
    <w:rsid w:val="00AC26CA"/>
    <w:rsid w:val="00AC26D8"/>
    <w:rsid w:val="00AC2DDB"/>
    <w:rsid w:val="00AC3025"/>
    <w:rsid w:val="00AC3835"/>
    <w:rsid w:val="00AC44FD"/>
    <w:rsid w:val="00AC45FD"/>
    <w:rsid w:val="00AC4C80"/>
    <w:rsid w:val="00AC66A5"/>
    <w:rsid w:val="00AC6CD5"/>
    <w:rsid w:val="00AC7B38"/>
    <w:rsid w:val="00AC7FEC"/>
    <w:rsid w:val="00AD036E"/>
    <w:rsid w:val="00AD180D"/>
    <w:rsid w:val="00AD2635"/>
    <w:rsid w:val="00AD39D3"/>
    <w:rsid w:val="00AD4925"/>
    <w:rsid w:val="00AD4B1D"/>
    <w:rsid w:val="00AD5BCC"/>
    <w:rsid w:val="00AD5EC3"/>
    <w:rsid w:val="00AD6036"/>
    <w:rsid w:val="00AD6150"/>
    <w:rsid w:val="00AD71DB"/>
    <w:rsid w:val="00AD74AD"/>
    <w:rsid w:val="00AE010B"/>
    <w:rsid w:val="00AE3C13"/>
    <w:rsid w:val="00AE6B98"/>
    <w:rsid w:val="00AF2E0C"/>
    <w:rsid w:val="00AF3114"/>
    <w:rsid w:val="00AF3382"/>
    <w:rsid w:val="00AF3F18"/>
    <w:rsid w:val="00AF4177"/>
    <w:rsid w:val="00AF55D2"/>
    <w:rsid w:val="00AF7510"/>
    <w:rsid w:val="00B016E5"/>
    <w:rsid w:val="00B01706"/>
    <w:rsid w:val="00B01D8E"/>
    <w:rsid w:val="00B027B5"/>
    <w:rsid w:val="00B02F46"/>
    <w:rsid w:val="00B03949"/>
    <w:rsid w:val="00B03E22"/>
    <w:rsid w:val="00B041F5"/>
    <w:rsid w:val="00B047EF"/>
    <w:rsid w:val="00B05F33"/>
    <w:rsid w:val="00B061B3"/>
    <w:rsid w:val="00B0726F"/>
    <w:rsid w:val="00B07610"/>
    <w:rsid w:val="00B10096"/>
    <w:rsid w:val="00B10BF6"/>
    <w:rsid w:val="00B11ADF"/>
    <w:rsid w:val="00B1226B"/>
    <w:rsid w:val="00B122BC"/>
    <w:rsid w:val="00B12520"/>
    <w:rsid w:val="00B12528"/>
    <w:rsid w:val="00B134AD"/>
    <w:rsid w:val="00B1491C"/>
    <w:rsid w:val="00B14DBD"/>
    <w:rsid w:val="00B159DF"/>
    <w:rsid w:val="00B15E79"/>
    <w:rsid w:val="00B1745D"/>
    <w:rsid w:val="00B17461"/>
    <w:rsid w:val="00B17785"/>
    <w:rsid w:val="00B20C2A"/>
    <w:rsid w:val="00B21ED1"/>
    <w:rsid w:val="00B22B84"/>
    <w:rsid w:val="00B22BA2"/>
    <w:rsid w:val="00B235F9"/>
    <w:rsid w:val="00B23719"/>
    <w:rsid w:val="00B23E57"/>
    <w:rsid w:val="00B23E85"/>
    <w:rsid w:val="00B243C6"/>
    <w:rsid w:val="00B24C61"/>
    <w:rsid w:val="00B25507"/>
    <w:rsid w:val="00B261A4"/>
    <w:rsid w:val="00B311CF"/>
    <w:rsid w:val="00B31C6C"/>
    <w:rsid w:val="00B3339E"/>
    <w:rsid w:val="00B3342C"/>
    <w:rsid w:val="00B341C5"/>
    <w:rsid w:val="00B342A9"/>
    <w:rsid w:val="00B3469C"/>
    <w:rsid w:val="00B34830"/>
    <w:rsid w:val="00B35BF6"/>
    <w:rsid w:val="00B3681B"/>
    <w:rsid w:val="00B40E6C"/>
    <w:rsid w:val="00B41192"/>
    <w:rsid w:val="00B42820"/>
    <w:rsid w:val="00B44577"/>
    <w:rsid w:val="00B4661D"/>
    <w:rsid w:val="00B50681"/>
    <w:rsid w:val="00B50DBA"/>
    <w:rsid w:val="00B5216E"/>
    <w:rsid w:val="00B531DA"/>
    <w:rsid w:val="00B534C2"/>
    <w:rsid w:val="00B53621"/>
    <w:rsid w:val="00B5410F"/>
    <w:rsid w:val="00B5481C"/>
    <w:rsid w:val="00B552B9"/>
    <w:rsid w:val="00B56558"/>
    <w:rsid w:val="00B565A9"/>
    <w:rsid w:val="00B61AFB"/>
    <w:rsid w:val="00B61BE4"/>
    <w:rsid w:val="00B628AA"/>
    <w:rsid w:val="00B63154"/>
    <w:rsid w:val="00B632A6"/>
    <w:rsid w:val="00B63C18"/>
    <w:rsid w:val="00B63E97"/>
    <w:rsid w:val="00B64692"/>
    <w:rsid w:val="00B6589C"/>
    <w:rsid w:val="00B65AC9"/>
    <w:rsid w:val="00B663A5"/>
    <w:rsid w:val="00B666F6"/>
    <w:rsid w:val="00B668DE"/>
    <w:rsid w:val="00B66C46"/>
    <w:rsid w:val="00B670D6"/>
    <w:rsid w:val="00B673E8"/>
    <w:rsid w:val="00B67873"/>
    <w:rsid w:val="00B679A0"/>
    <w:rsid w:val="00B7051B"/>
    <w:rsid w:val="00B713B0"/>
    <w:rsid w:val="00B71A4E"/>
    <w:rsid w:val="00B72236"/>
    <w:rsid w:val="00B7330F"/>
    <w:rsid w:val="00B73A8F"/>
    <w:rsid w:val="00B73F5F"/>
    <w:rsid w:val="00B74096"/>
    <w:rsid w:val="00B745B4"/>
    <w:rsid w:val="00B75DC4"/>
    <w:rsid w:val="00B768C9"/>
    <w:rsid w:val="00B76B3E"/>
    <w:rsid w:val="00B76EB2"/>
    <w:rsid w:val="00B77F66"/>
    <w:rsid w:val="00B81591"/>
    <w:rsid w:val="00B8173A"/>
    <w:rsid w:val="00B829FB"/>
    <w:rsid w:val="00B83171"/>
    <w:rsid w:val="00B850C6"/>
    <w:rsid w:val="00B8705D"/>
    <w:rsid w:val="00B8793B"/>
    <w:rsid w:val="00B90CC3"/>
    <w:rsid w:val="00B914DF"/>
    <w:rsid w:val="00B9201D"/>
    <w:rsid w:val="00B9232E"/>
    <w:rsid w:val="00B92EE6"/>
    <w:rsid w:val="00B93A23"/>
    <w:rsid w:val="00B94491"/>
    <w:rsid w:val="00B94B05"/>
    <w:rsid w:val="00B956DA"/>
    <w:rsid w:val="00B95C69"/>
    <w:rsid w:val="00B9679C"/>
    <w:rsid w:val="00BA0004"/>
    <w:rsid w:val="00BA06CB"/>
    <w:rsid w:val="00BA0E76"/>
    <w:rsid w:val="00BA1A0D"/>
    <w:rsid w:val="00BA2603"/>
    <w:rsid w:val="00BA4251"/>
    <w:rsid w:val="00BA4828"/>
    <w:rsid w:val="00BA5D67"/>
    <w:rsid w:val="00BA5DA1"/>
    <w:rsid w:val="00BA6C53"/>
    <w:rsid w:val="00BA798C"/>
    <w:rsid w:val="00BB0C7F"/>
    <w:rsid w:val="00BB0C8F"/>
    <w:rsid w:val="00BB0E1B"/>
    <w:rsid w:val="00BB1D93"/>
    <w:rsid w:val="00BB2340"/>
    <w:rsid w:val="00BB2C39"/>
    <w:rsid w:val="00BB383A"/>
    <w:rsid w:val="00BB430D"/>
    <w:rsid w:val="00BB47C4"/>
    <w:rsid w:val="00BB4B0F"/>
    <w:rsid w:val="00BB4BEB"/>
    <w:rsid w:val="00BB4D89"/>
    <w:rsid w:val="00BB5B48"/>
    <w:rsid w:val="00BB62FE"/>
    <w:rsid w:val="00BB6C49"/>
    <w:rsid w:val="00BC147A"/>
    <w:rsid w:val="00BC347B"/>
    <w:rsid w:val="00BC4601"/>
    <w:rsid w:val="00BC5832"/>
    <w:rsid w:val="00BC5C28"/>
    <w:rsid w:val="00BC5ECE"/>
    <w:rsid w:val="00BC6470"/>
    <w:rsid w:val="00BC7943"/>
    <w:rsid w:val="00BD1123"/>
    <w:rsid w:val="00BD1B7D"/>
    <w:rsid w:val="00BD20E4"/>
    <w:rsid w:val="00BD287E"/>
    <w:rsid w:val="00BD49A0"/>
    <w:rsid w:val="00BD6F70"/>
    <w:rsid w:val="00BD7134"/>
    <w:rsid w:val="00BE01EF"/>
    <w:rsid w:val="00BE02DF"/>
    <w:rsid w:val="00BE03F2"/>
    <w:rsid w:val="00BE0508"/>
    <w:rsid w:val="00BE19E3"/>
    <w:rsid w:val="00BE1A4F"/>
    <w:rsid w:val="00BE20E8"/>
    <w:rsid w:val="00BE4F75"/>
    <w:rsid w:val="00BE5963"/>
    <w:rsid w:val="00BE6BFD"/>
    <w:rsid w:val="00BE79E1"/>
    <w:rsid w:val="00BE7BE5"/>
    <w:rsid w:val="00BF1226"/>
    <w:rsid w:val="00BF16FF"/>
    <w:rsid w:val="00BF1B4B"/>
    <w:rsid w:val="00BF20B2"/>
    <w:rsid w:val="00BF21C0"/>
    <w:rsid w:val="00BF269F"/>
    <w:rsid w:val="00BF2B65"/>
    <w:rsid w:val="00BF3571"/>
    <w:rsid w:val="00BF3798"/>
    <w:rsid w:val="00BF3814"/>
    <w:rsid w:val="00BF5660"/>
    <w:rsid w:val="00BF67FF"/>
    <w:rsid w:val="00BF6BC2"/>
    <w:rsid w:val="00BF6DBA"/>
    <w:rsid w:val="00BF7FC8"/>
    <w:rsid w:val="00C007F5"/>
    <w:rsid w:val="00C015E9"/>
    <w:rsid w:val="00C016EA"/>
    <w:rsid w:val="00C018EA"/>
    <w:rsid w:val="00C02070"/>
    <w:rsid w:val="00C027D2"/>
    <w:rsid w:val="00C02C84"/>
    <w:rsid w:val="00C02F2C"/>
    <w:rsid w:val="00C03258"/>
    <w:rsid w:val="00C03451"/>
    <w:rsid w:val="00C035F8"/>
    <w:rsid w:val="00C03F70"/>
    <w:rsid w:val="00C04CEE"/>
    <w:rsid w:val="00C05BA1"/>
    <w:rsid w:val="00C0796B"/>
    <w:rsid w:val="00C07A3A"/>
    <w:rsid w:val="00C11C5C"/>
    <w:rsid w:val="00C11C82"/>
    <w:rsid w:val="00C127CA"/>
    <w:rsid w:val="00C12ACD"/>
    <w:rsid w:val="00C147B1"/>
    <w:rsid w:val="00C150B4"/>
    <w:rsid w:val="00C154C3"/>
    <w:rsid w:val="00C173C4"/>
    <w:rsid w:val="00C24F08"/>
    <w:rsid w:val="00C25FBF"/>
    <w:rsid w:val="00C26065"/>
    <w:rsid w:val="00C2669C"/>
    <w:rsid w:val="00C26D70"/>
    <w:rsid w:val="00C302F3"/>
    <w:rsid w:val="00C30820"/>
    <w:rsid w:val="00C30C7C"/>
    <w:rsid w:val="00C31630"/>
    <w:rsid w:val="00C341E6"/>
    <w:rsid w:val="00C346AF"/>
    <w:rsid w:val="00C35557"/>
    <w:rsid w:val="00C358C6"/>
    <w:rsid w:val="00C36253"/>
    <w:rsid w:val="00C40445"/>
    <w:rsid w:val="00C4046D"/>
    <w:rsid w:val="00C40CF0"/>
    <w:rsid w:val="00C4203F"/>
    <w:rsid w:val="00C42057"/>
    <w:rsid w:val="00C43D88"/>
    <w:rsid w:val="00C44C66"/>
    <w:rsid w:val="00C44D9B"/>
    <w:rsid w:val="00C45AD4"/>
    <w:rsid w:val="00C45D9D"/>
    <w:rsid w:val="00C469C1"/>
    <w:rsid w:val="00C46D3A"/>
    <w:rsid w:val="00C47BBD"/>
    <w:rsid w:val="00C5062C"/>
    <w:rsid w:val="00C516FA"/>
    <w:rsid w:val="00C52238"/>
    <w:rsid w:val="00C52311"/>
    <w:rsid w:val="00C525F0"/>
    <w:rsid w:val="00C529E2"/>
    <w:rsid w:val="00C532A6"/>
    <w:rsid w:val="00C534E5"/>
    <w:rsid w:val="00C545B8"/>
    <w:rsid w:val="00C557C1"/>
    <w:rsid w:val="00C572A7"/>
    <w:rsid w:val="00C57715"/>
    <w:rsid w:val="00C5794A"/>
    <w:rsid w:val="00C607C6"/>
    <w:rsid w:val="00C6115B"/>
    <w:rsid w:val="00C61BFD"/>
    <w:rsid w:val="00C62213"/>
    <w:rsid w:val="00C6241C"/>
    <w:rsid w:val="00C6267E"/>
    <w:rsid w:val="00C64154"/>
    <w:rsid w:val="00C656F2"/>
    <w:rsid w:val="00C66996"/>
    <w:rsid w:val="00C66AF9"/>
    <w:rsid w:val="00C70EB9"/>
    <w:rsid w:val="00C7276B"/>
    <w:rsid w:val="00C72800"/>
    <w:rsid w:val="00C733D2"/>
    <w:rsid w:val="00C7365B"/>
    <w:rsid w:val="00C738A0"/>
    <w:rsid w:val="00C73C81"/>
    <w:rsid w:val="00C74A7C"/>
    <w:rsid w:val="00C7521E"/>
    <w:rsid w:val="00C7562B"/>
    <w:rsid w:val="00C75BAE"/>
    <w:rsid w:val="00C76F82"/>
    <w:rsid w:val="00C774B2"/>
    <w:rsid w:val="00C777CC"/>
    <w:rsid w:val="00C77EB8"/>
    <w:rsid w:val="00C821FF"/>
    <w:rsid w:val="00C83463"/>
    <w:rsid w:val="00C83E28"/>
    <w:rsid w:val="00C84F6F"/>
    <w:rsid w:val="00C86C93"/>
    <w:rsid w:val="00C87AA2"/>
    <w:rsid w:val="00C87AAD"/>
    <w:rsid w:val="00C9006B"/>
    <w:rsid w:val="00C90989"/>
    <w:rsid w:val="00C90CE8"/>
    <w:rsid w:val="00C91673"/>
    <w:rsid w:val="00C91B03"/>
    <w:rsid w:val="00C91B66"/>
    <w:rsid w:val="00C93394"/>
    <w:rsid w:val="00C93B1D"/>
    <w:rsid w:val="00C93FF6"/>
    <w:rsid w:val="00C9559D"/>
    <w:rsid w:val="00C96A5B"/>
    <w:rsid w:val="00C977ED"/>
    <w:rsid w:val="00C97903"/>
    <w:rsid w:val="00CA1498"/>
    <w:rsid w:val="00CA17AF"/>
    <w:rsid w:val="00CA20BF"/>
    <w:rsid w:val="00CA20EA"/>
    <w:rsid w:val="00CA3670"/>
    <w:rsid w:val="00CA3A4B"/>
    <w:rsid w:val="00CA508F"/>
    <w:rsid w:val="00CA55A6"/>
    <w:rsid w:val="00CA6261"/>
    <w:rsid w:val="00CA6577"/>
    <w:rsid w:val="00CA6730"/>
    <w:rsid w:val="00CA68B7"/>
    <w:rsid w:val="00CA6FD1"/>
    <w:rsid w:val="00CA7140"/>
    <w:rsid w:val="00CA746D"/>
    <w:rsid w:val="00CA7B38"/>
    <w:rsid w:val="00CB06F8"/>
    <w:rsid w:val="00CB1882"/>
    <w:rsid w:val="00CB198C"/>
    <w:rsid w:val="00CB199B"/>
    <w:rsid w:val="00CB5873"/>
    <w:rsid w:val="00CB62BF"/>
    <w:rsid w:val="00CB7E51"/>
    <w:rsid w:val="00CB7FF9"/>
    <w:rsid w:val="00CC19A3"/>
    <w:rsid w:val="00CC337F"/>
    <w:rsid w:val="00CC44B7"/>
    <w:rsid w:val="00CC4C8F"/>
    <w:rsid w:val="00CC7A70"/>
    <w:rsid w:val="00CC7A86"/>
    <w:rsid w:val="00CC7CEA"/>
    <w:rsid w:val="00CD0492"/>
    <w:rsid w:val="00CD04A8"/>
    <w:rsid w:val="00CD08C5"/>
    <w:rsid w:val="00CD0D14"/>
    <w:rsid w:val="00CD22F4"/>
    <w:rsid w:val="00CD2683"/>
    <w:rsid w:val="00CD39D7"/>
    <w:rsid w:val="00CD4B6B"/>
    <w:rsid w:val="00CD5706"/>
    <w:rsid w:val="00CD5D98"/>
    <w:rsid w:val="00CD6EA9"/>
    <w:rsid w:val="00CE0169"/>
    <w:rsid w:val="00CE0A6B"/>
    <w:rsid w:val="00CE0CCE"/>
    <w:rsid w:val="00CE1E2B"/>
    <w:rsid w:val="00CE25FA"/>
    <w:rsid w:val="00CE30D6"/>
    <w:rsid w:val="00CE4669"/>
    <w:rsid w:val="00CE53E4"/>
    <w:rsid w:val="00CE55B7"/>
    <w:rsid w:val="00CE65EB"/>
    <w:rsid w:val="00CE6AC9"/>
    <w:rsid w:val="00CE78A9"/>
    <w:rsid w:val="00CF196B"/>
    <w:rsid w:val="00CF2142"/>
    <w:rsid w:val="00CF2332"/>
    <w:rsid w:val="00CF2885"/>
    <w:rsid w:val="00CF3D64"/>
    <w:rsid w:val="00CF417A"/>
    <w:rsid w:val="00CF44AF"/>
    <w:rsid w:val="00CF47E6"/>
    <w:rsid w:val="00CF4E0A"/>
    <w:rsid w:val="00CF546A"/>
    <w:rsid w:val="00CF61AE"/>
    <w:rsid w:val="00CF6404"/>
    <w:rsid w:val="00CF67C0"/>
    <w:rsid w:val="00D00011"/>
    <w:rsid w:val="00D0037A"/>
    <w:rsid w:val="00D00CD3"/>
    <w:rsid w:val="00D01602"/>
    <w:rsid w:val="00D02C7F"/>
    <w:rsid w:val="00D038C9"/>
    <w:rsid w:val="00D04B37"/>
    <w:rsid w:val="00D059E8"/>
    <w:rsid w:val="00D05C87"/>
    <w:rsid w:val="00D0627A"/>
    <w:rsid w:val="00D0686D"/>
    <w:rsid w:val="00D07DDE"/>
    <w:rsid w:val="00D108EC"/>
    <w:rsid w:val="00D111EF"/>
    <w:rsid w:val="00D126A3"/>
    <w:rsid w:val="00D12B30"/>
    <w:rsid w:val="00D141B6"/>
    <w:rsid w:val="00D17033"/>
    <w:rsid w:val="00D20336"/>
    <w:rsid w:val="00D20428"/>
    <w:rsid w:val="00D24648"/>
    <w:rsid w:val="00D25ECF"/>
    <w:rsid w:val="00D269C7"/>
    <w:rsid w:val="00D26AD7"/>
    <w:rsid w:val="00D26C75"/>
    <w:rsid w:val="00D31118"/>
    <w:rsid w:val="00D313CC"/>
    <w:rsid w:val="00D31929"/>
    <w:rsid w:val="00D31A8C"/>
    <w:rsid w:val="00D31BF0"/>
    <w:rsid w:val="00D34061"/>
    <w:rsid w:val="00D34898"/>
    <w:rsid w:val="00D35BBA"/>
    <w:rsid w:val="00D4270A"/>
    <w:rsid w:val="00D427B8"/>
    <w:rsid w:val="00D43965"/>
    <w:rsid w:val="00D4497B"/>
    <w:rsid w:val="00D44D29"/>
    <w:rsid w:val="00D459B7"/>
    <w:rsid w:val="00D45B40"/>
    <w:rsid w:val="00D4702D"/>
    <w:rsid w:val="00D503B9"/>
    <w:rsid w:val="00D50B62"/>
    <w:rsid w:val="00D510EE"/>
    <w:rsid w:val="00D51143"/>
    <w:rsid w:val="00D51C47"/>
    <w:rsid w:val="00D5205E"/>
    <w:rsid w:val="00D53677"/>
    <w:rsid w:val="00D53B45"/>
    <w:rsid w:val="00D549C9"/>
    <w:rsid w:val="00D54E53"/>
    <w:rsid w:val="00D55431"/>
    <w:rsid w:val="00D5553B"/>
    <w:rsid w:val="00D55B47"/>
    <w:rsid w:val="00D56B4A"/>
    <w:rsid w:val="00D56D6E"/>
    <w:rsid w:val="00D577BC"/>
    <w:rsid w:val="00D5799B"/>
    <w:rsid w:val="00D629B5"/>
    <w:rsid w:val="00D62E95"/>
    <w:rsid w:val="00D63147"/>
    <w:rsid w:val="00D63657"/>
    <w:rsid w:val="00D636AB"/>
    <w:rsid w:val="00D649E2"/>
    <w:rsid w:val="00D666A0"/>
    <w:rsid w:val="00D708C7"/>
    <w:rsid w:val="00D70D9C"/>
    <w:rsid w:val="00D711B2"/>
    <w:rsid w:val="00D71A0B"/>
    <w:rsid w:val="00D736FF"/>
    <w:rsid w:val="00D7424E"/>
    <w:rsid w:val="00D74908"/>
    <w:rsid w:val="00D76E28"/>
    <w:rsid w:val="00D77D40"/>
    <w:rsid w:val="00D80DF9"/>
    <w:rsid w:val="00D81080"/>
    <w:rsid w:val="00D812ED"/>
    <w:rsid w:val="00D8136F"/>
    <w:rsid w:val="00D8166C"/>
    <w:rsid w:val="00D82EC3"/>
    <w:rsid w:val="00D82F41"/>
    <w:rsid w:val="00D831F0"/>
    <w:rsid w:val="00D84B21"/>
    <w:rsid w:val="00D84C1C"/>
    <w:rsid w:val="00D84F73"/>
    <w:rsid w:val="00D8528F"/>
    <w:rsid w:val="00D86F2D"/>
    <w:rsid w:val="00D87019"/>
    <w:rsid w:val="00D87D26"/>
    <w:rsid w:val="00D87F7A"/>
    <w:rsid w:val="00D91FF4"/>
    <w:rsid w:val="00D92289"/>
    <w:rsid w:val="00D924BE"/>
    <w:rsid w:val="00D929B1"/>
    <w:rsid w:val="00D92D0A"/>
    <w:rsid w:val="00D93756"/>
    <w:rsid w:val="00D94C90"/>
    <w:rsid w:val="00D9527A"/>
    <w:rsid w:val="00D95DB6"/>
    <w:rsid w:val="00D9658B"/>
    <w:rsid w:val="00D97EC5"/>
    <w:rsid w:val="00DA05F0"/>
    <w:rsid w:val="00DA0841"/>
    <w:rsid w:val="00DA0A2D"/>
    <w:rsid w:val="00DA1249"/>
    <w:rsid w:val="00DA1D0E"/>
    <w:rsid w:val="00DA29D7"/>
    <w:rsid w:val="00DA4BBD"/>
    <w:rsid w:val="00DA5B0C"/>
    <w:rsid w:val="00DA652B"/>
    <w:rsid w:val="00DA74A4"/>
    <w:rsid w:val="00DA791B"/>
    <w:rsid w:val="00DB0AF3"/>
    <w:rsid w:val="00DB0DBC"/>
    <w:rsid w:val="00DB1046"/>
    <w:rsid w:val="00DB11A7"/>
    <w:rsid w:val="00DB2E69"/>
    <w:rsid w:val="00DB37EC"/>
    <w:rsid w:val="00DB3EF6"/>
    <w:rsid w:val="00DB4378"/>
    <w:rsid w:val="00DB441F"/>
    <w:rsid w:val="00DB4CC0"/>
    <w:rsid w:val="00DB61AB"/>
    <w:rsid w:val="00DC26FF"/>
    <w:rsid w:val="00DC4060"/>
    <w:rsid w:val="00DC4D0F"/>
    <w:rsid w:val="00DC5288"/>
    <w:rsid w:val="00DC6BF3"/>
    <w:rsid w:val="00DD1ABD"/>
    <w:rsid w:val="00DD23EF"/>
    <w:rsid w:val="00DD348B"/>
    <w:rsid w:val="00DD4243"/>
    <w:rsid w:val="00DD4AAB"/>
    <w:rsid w:val="00DD57EB"/>
    <w:rsid w:val="00DD634A"/>
    <w:rsid w:val="00DD7C28"/>
    <w:rsid w:val="00DE29E9"/>
    <w:rsid w:val="00DE2DF5"/>
    <w:rsid w:val="00DE3302"/>
    <w:rsid w:val="00DE361F"/>
    <w:rsid w:val="00DE3EC5"/>
    <w:rsid w:val="00DE3EFA"/>
    <w:rsid w:val="00DE50F6"/>
    <w:rsid w:val="00DE5EE7"/>
    <w:rsid w:val="00DE74A6"/>
    <w:rsid w:val="00DF221B"/>
    <w:rsid w:val="00DF2A4B"/>
    <w:rsid w:val="00DF3192"/>
    <w:rsid w:val="00DF3525"/>
    <w:rsid w:val="00DF47DB"/>
    <w:rsid w:val="00DF5D11"/>
    <w:rsid w:val="00DF5D5D"/>
    <w:rsid w:val="00DF648B"/>
    <w:rsid w:val="00DF6770"/>
    <w:rsid w:val="00E007EC"/>
    <w:rsid w:val="00E0091C"/>
    <w:rsid w:val="00E0141C"/>
    <w:rsid w:val="00E01E4C"/>
    <w:rsid w:val="00E0219B"/>
    <w:rsid w:val="00E05D6E"/>
    <w:rsid w:val="00E0773E"/>
    <w:rsid w:val="00E10269"/>
    <w:rsid w:val="00E103AA"/>
    <w:rsid w:val="00E10437"/>
    <w:rsid w:val="00E10682"/>
    <w:rsid w:val="00E129EB"/>
    <w:rsid w:val="00E131C6"/>
    <w:rsid w:val="00E1359B"/>
    <w:rsid w:val="00E13CB9"/>
    <w:rsid w:val="00E1406F"/>
    <w:rsid w:val="00E1488E"/>
    <w:rsid w:val="00E1526C"/>
    <w:rsid w:val="00E1566F"/>
    <w:rsid w:val="00E16255"/>
    <w:rsid w:val="00E17104"/>
    <w:rsid w:val="00E17353"/>
    <w:rsid w:val="00E201C5"/>
    <w:rsid w:val="00E20436"/>
    <w:rsid w:val="00E21883"/>
    <w:rsid w:val="00E21990"/>
    <w:rsid w:val="00E21D1B"/>
    <w:rsid w:val="00E222F0"/>
    <w:rsid w:val="00E229FB"/>
    <w:rsid w:val="00E247BB"/>
    <w:rsid w:val="00E25386"/>
    <w:rsid w:val="00E25AE6"/>
    <w:rsid w:val="00E26001"/>
    <w:rsid w:val="00E26206"/>
    <w:rsid w:val="00E27E68"/>
    <w:rsid w:val="00E309E8"/>
    <w:rsid w:val="00E31B6C"/>
    <w:rsid w:val="00E31D1E"/>
    <w:rsid w:val="00E31DB8"/>
    <w:rsid w:val="00E32102"/>
    <w:rsid w:val="00E323E1"/>
    <w:rsid w:val="00E3403C"/>
    <w:rsid w:val="00E35223"/>
    <w:rsid w:val="00E352D6"/>
    <w:rsid w:val="00E3630A"/>
    <w:rsid w:val="00E369B4"/>
    <w:rsid w:val="00E37A39"/>
    <w:rsid w:val="00E413CA"/>
    <w:rsid w:val="00E415A7"/>
    <w:rsid w:val="00E43DFD"/>
    <w:rsid w:val="00E4504C"/>
    <w:rsid w:val="00E45E05"/>
    <w:rsid w:val="00E468E0"/>
    <w:rsid w:val="00E46F8F"/>
    <w:rsid w:val="00E47428"/>
    <w:rsid w:val="00E50680"/>
    <w:rsid w:val="00E5207E"/>
    <w:rsid w:val="00E5269E"/>
    <w:rsid w:val="00E528AA"/>
    <w:rsid w:val="00E5321A"/>
    <w:rsid w:val="00E54388"/>
    <w:rsid w:val="00E55674"/>
    <w:rsid w:val="00E556D9"/>
    <w:rsid w:val="00E557D8"/>
    <w:rsid w:val="00E557DD"/>
    <w:rsid w:val="00E55D16"/>
    <w:rsid w:val="00E56AF4"/>
    <w:rsid w:val="00E56E3A"/>
    <w:rsid w:val="00E5799B"/>
    <w:rsid w:val="00E63372"/>
    <w:rsid w:val="00E646AF"/>
    <w:rsid w:val="00E64AA7"/>
    <w:rsid w:val="00E6538A"/>
    <w:rsid w:val="00E6709B"/>
    <w:rsid w:val="00E671F5"/>
    <w:rsid w:val="00E672D7"/>
    <w:rsid w:val="00E676B8"/>
    <w:rsid w:val="00E70531"/>
    <w:rsid w:val="00E70DE6"/>
    <w:rsid w:val="00E71566"/>
    <w:rsid w:val="00E717B3"/>
    <w:rsid w:val="00E7183D"/>
    <w:rsid w:val="00E71C83"/>
    <w:rsid w:val="00E721D2"/>
    <w:rsid w:val="00E7255A"/>
    <w:rsid w:val="00E73D8A"/>
    <w:rsid w:val="00E73DF8"/>
    <w:rsid w:val="00E753A2"/>
    <w:rsid w:val="00E75E0C"/>
    <w:rsid w:val="00E76057"/>
    <w:rsid w:val="00E779C9"/>
    <w:rsid w:val="00E77A60"/>
    <w:rsid w:val="00E80CEC"/>
    <w:rsid w:val="00E834EA"/>
    <w:rsid w:val="00E844B0"/>
    <w:rsid w:val="00E84A76"/>
    <w:rsid w:val="00E857A6"/>
    <w:rsid w:val="00E858A6"/>
    <w:rsid w:val="00E861AE"/>
    <w:rsid w:val="00E86432"/>
    <w:rsid w:val="00E87206"/>
    <w:rsid w:val="00E90AD1"/>
    <w:rsid w:val="00E90C9C"/>
    <w:rsid w:val="00E91EB2"/>
    <w:rsid w:val="00E9314C"/>
    <w:rsid w:val="00E9369A"/>
    <w:rsid w:val="00E937C1"/>
    <w:rsid w:val="00E93D79"/>
    <w:rsid w:val="00E95C2E"/>
    <w:rsid w:val="00E97321"/>
    <w:rsid w:val="00E974AD"/>
    <w:rsid w:val="00E975CA"/>
    <w:rsid w:val="00EA196E"/>
    <w:rsid w:val="00EA1F36"/>
    <w:rsid w:val="00EA3623"/>
    <w:rsid w:val="00EA4777"/>
    <w:rsid w:val="00EA49B4"/>
    <w:rsid w:val="00EA5575"/>
    <w:rsid w:val="00EA5A92"/>
    <w:rsid w:val="00EA5F2D"/>
    <w:rsid w:val="00EA6CD2"/>
    <w:rsid w:val="00EA729C"/>
    <w:rsid w:val="00EB1E45"/>
    <w:rsid w:val="00EB1FC2"/>
    <w:rsid w:val="00EB4ECB"/>
    <w:rsid w:val="00EB5EC5"/>
    <w:rsid w:val="00EB6A40"/>
    <w:rsid w:val="00EB72A2"/>
    <w:rsid w:val="00EC0490"/>
    <w:rsid w:val="00EC074B"/>
    <w:rsid w:val="00EC18D0"/>
    <w:rsid w:val="00EC2045"/>
    <w:rsid w:val="00EC2335"/>
    <w:rsid w:val="00EC3682"/>
    <w:rsid w:val="00EC45F4"/>
    <w:rsid w:val="00EC47A3"/>
    <w:rsid w:val="00EC4ECC"/>
    <w:rsid w:val="00EC6797"/>
    <w:rsid w:val="00EC6BED"/>
    <w:rsid w:val="00ED00BE"/>
    <w:rsid w:val="00ED0CE5"/>
    <w:rsid w:val="00ED0DE3"/>
    <w:rsid w:val="00ED1A79"/>
    <w:rsid w:val="00ED1AA2"/>
    <w:rsid w:val="00ED25A9"/>
    <w:rsid w:val="00ED28D1"/>
    <w:rsid w:val="00ED5293"/>
    <w:rsid w:val="00ED5597"/>
    <w:rsid w:val="00EE159D"/>
    <w:rsid w:val="00EE1A5E"/>
    <w:rsid w:val="00EE206C"/>
    <w:rsid w:val="00EE2BD0"/>
    <w:rsid w:val="00EE3039"/>
    <w:rsid w:val="00EE39BE"/>
    <w:rsid w:val="00EE61C2"/>
    <w:rsid w:val="00EE773F"/>
    <w:rsid w:val="00EF03E5"/>
    <w:rsid w:val="00EF0787"/>
    <w:rsid w:val="00EF2021"/>
    <w:rsid w:val="00EF203C"/>
    <w:rsid w:val="00EF21A6"/>
    <w:rsid w:val="00EF2CD8"/>
    <w:rsid w:val="00EF3600"/>
    <w:rsid w:val="00EF462F"/>
    <w:rsid w:val="00EF5105"/>
    <w:rsid w:val="00EF5551"/>
    <w:rsid w:val="00EF70F1"/>
    <w:rsid w:val="00F00CBE"/>
    <w:rsid w:val="00F01309"/>
    <w:rsid w:val="00F013FB"/>
    <w:rsid w:val="00F01930"/>
    <w:rsid w:val="00F02415"/>
    <w:rsid w:val="00F0277A"/>
    <w:rsid w:val="00F02CA6"/>
    <w:rsid w:val="00F031C6"/>
    <w:rsid w:val="00F03468"/>
    <w:rsid w:val="00F03E3E"/>
    <w:rsid w:val="00F04C1A"/>
    <w:rsid w:val="00F051EF"/>
    <w:rsid w:val="00F0670B"/>
    <w:rsid w:val="00F06EB5"/>
    <w:rsid w:val="00F10293"/>
    <w:rsid w:val="00F1064C"/>
    <w:rsid w:val="00F10D9E"/>
    <w:rsid w:val="00F1126B"/>
    <w:rsid w:val="00F12B52"/>
    <w:rsid w:val="00F134EE"/>
    <w:rsid w:val="00F13A12"/>
    <w:rsid w:val="00F1500C"/>
    <w:rsid w:val="00F152C0"/>
    <w:rsid w:val="00F15B49"/>
    <w:rsid w:val="00F16297"/>
    <w:rsid w:val="00F1629C"/>
    <w:rsid w:val="00F212B1"/>
    <w:rsid w:val="00F2133A"/>
    <w:rsid w:val="00F23EAC"/>
    <w:rsid w:val="00F25802"/>
    <w:rsid w:val="00F25E34"/>
    <w:rsid w:val="00F26BE8"/>
    <w:rsid w:val="00F26C25"/>
    <w:rsid w:val="00F277CF"/>
    <w:rsid w:val="00F328A3"/>
    <w:rsid w:val="00F334AA"/>
    <w:rsid w:val="00F33B61"/>
    <w:rsid w:val="00F35B7D"/>
    <w:rsid w:val="00F35F6F"/>
    <w:rsid w:val="00F37FE4"/>
    <w:rsid w:val="00F40242"/>
    <w:rsid w:val="00F42374"/>
    <w:rsid w:val="00F4265C"/>
    <w:rsid w:val="00F43C13"/>
    <w:rsid w:val="00F45D35"/>
    <w:rsid w:val="00F46418"/>
    <w:rsid w:val="00F4781F"/>
    <w:rsid w:val="00F51BE3"/>
    <w:rsid w:val="00F524D8"/>
    <w:rsid w:val="00F52A5B"/>
    <w:rsid w:val="00F60AA2"/>
    <w:rsid w:val="00F60F0E"/>
    <w:rsid w:val="00F61163"/>
    <w:rsid w:val="00F635CC"/>
    <w:rsid w:val="00F63B9C"/>
    <w:rsid w:val="00F64C4C"/>
    <w:rsid w:val="00F65159"/>
    <w:rsid w:val="00F660DD"/>
    <w:rsid w:val="00F66D61"/>
    <w:rsid w:val="00F66FD7"/>
    <w:rsid w:val="00F674E4"/>
    <w:rsid w:val="00F67F0E"/>
    <w:rsid w:val="00F72961"/>
    <w:rsid w:val="00F73AF1"/>
    <w:rsid w:val="00F73DA5"/>
    <w:rsid w:val="00F74DEA"/>
    <w:rsid w:val="00F74F60"/>
    <w:rsid w:val="00F753DD"/>
    <w:rsid w:val="00F761DC"/>
    <w:rsid w:val="00F76A3E"/>
    <w:rsid w:val="00F779B6"/>
    <w:rsid w:val="00F80193"/>
    <w:rsid w:val="00F8188D"/>
    <w:rsid w:val="00F821F0"/>
    <w:rsid w:val="00F82FBB"/>
    <w:rsid w:val="00F83A4F"/>
    <w:rsid w:val="00F83ACB"/>
    <w:rsid w:val="00F83FDE"/>
    <w:rsid w:val="00F859CA"/>
    <w:rsid w:val="00F879E5"/>
    <w:rsid w:val="00F90D6B"/>
    <w:rsid w:val="00F911DC"/>
    <w:rsid w:val="00F91581"/>
    <w:rsid w:val="00F928A8"/>
    <w:rsid w:val="00F92A3C"/>
    <w:rsid w:val="00F92E3D"/>
    <w:rsid w:val="00F93743"/>
    <w:rsid w:val="00F945B4"/>
    <w:rsid w:val="00F94C68"/>
    <w:rsid w:val="00F954B2"/>
    <w:rsid w:val="00F964CD"/>
    <w:rsid w:val="00F9714D"/>
    <w:rsid w:val="00F97EB2"/>
    <w:rsid w:val="00FA0487"/>
    <w:rsid w:val="00FA0B6D"/>
    <w:rsid w:val="00FA165A"/>
    <w:rsid w:val="00FA2EFE"/>
    <w:rsid w:val="00FA458E"/>
    <w:rsid w:val="00FA4678"/>
    <w:rsid w:val="00FA4D29"/>
    <w:rsid w:val="00FA7CA6"/>
    <w:rsid w:val="00FA7D35"/>
    <w:rsid w:val="00FB0155"/>
    <w:rsid w:val="00FB0824"/>
    <w:rsid w:val="00FB1953"/>
    <w:rsid w:val="00FB1F8A"/>
    <w:rsid w:val="00FB2395"/>
    <w:rsid w:val="00FB307C"/>
    <w:rsid w:val="00FB4F71"/>
    <w:rsid w:val="00FB524F"/>
    <w:rsid w:val="00FB5505"/>
    <w:rsid w:val="00FB56BD"/>
    <w:rsid w:val="00FB6536"/>
    <w:rsid w:val="00FB6B61"/>
    <w:rsid w:val="00FB79C4"/>
    <w:rsid w:val="00FC0A9D"/>
    <w:rsid w:val="00FC0CD4"/>
    <w:rsid w:val="00FC1621"/>
    <w:rsid w:val="00FC2DFB"/>
    <w:rsid w:val="00FC2F48"/>
    <w:rsid w:val="00FC3043"/>
    <w:rsid w:val="00FC3851"/>
    <w:rsid w:val="00FC490C"/>
    <w:rsid w:val="00FC4BA5"/>
    <w:rsid w:val="00FC4DC4"/>
    <w:rsid w:val="00FC4F19"/>
    <w:rsid w:val="00FC6061"/>
    <w:rsid w:val="00FC77C4"/>
    <w:rsid w:val="00FD1130"/>
    <w:rsid w:val="00FD23DC"/>
    <w:rsid w:val="00FD2A2D"/>
    <w:rsid w:val="00FD2BC4"/>
    <w:rsid w:val="00FD4781"/>
    <w:rsid w:val="00FD4CCA"/>
    <w:rsid w:val="00FD5285"/>
    <w:rsid w:val="00FD701F"/>
    <w:rsid w:val="00FD7A14"/>
    <w:rsid w:val="00FE01AA"/>
    <w:rsid w:val="00FE16EC"/>
    <w:rsid w:val="00FE1ABF"/>
    <w:rsid w:val="00FE1E96"/>
    <w:rsid w:val="00FE278A"/>
    <w:rsid w:val="00FE3F17"/>
    <w:rsid w:val="00FE4813"/>
    <w:rsid w:val="00FE4E67"/>
    <w:rsid w:val="00FE4EF9"/>
    <w:rsid w:val="00FE5AC0"/>
    <w:rsid w:val="00FE610D"/>
    <w:rsid w:val="00FE7651"/>
    <w:rsid w:val="00FE7810"/>
    <w:rsid w:val="00FE7A12"/>
    <w:rsid w:val="00FF0835"/>
    <w:rsid w:val="00FF0D2F"/>
    <w:rsid w:val="00FF1672"/>
    <w:rsid w:val="00FF1F55"/>
    <w:rsid w:val="00FF2FC9"/>
    <w:rsid w:val="00FF34C0"/>
    <w:rsid w:val="00FF3CF8"/>
    <w:rsid w:val="00FF4843"/>
    <w:rsid w:val="00FF5215"/>
    <w:rsid w:val="00FF5C4E"/>
    <w:rsid w:val="00FF61E3"/>
    <w:rsid w:val="00FF6540"/>
    <w:rsid w:val="00FF7766"/>
    <w:rsid w:val="00FF7B2B"/>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AF5BAE"/>
  <w15:docId w15:val="{E4C7E649-15C8-41B6-921B-638BD3D15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fr-FR" w:eastAsia="fr-FR" w:bidi="ar-SA"/>
      </w:rPr>
    </w:rPrDefault>
    <w:pPrDefault>
      <w:pPr>
        <w:spacing w:line="360"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unhideWhenUsed="1" w:qFormat="1"/>
    <w:lsdException w:name="heading 8" w:locked="1" w:uiPriority="9" w:unhideWhenUsed="1" w:qFormat="1"/>
    <w:lsdException w:name="heading 9" w:locked="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104"/>
    <w:pPr>
      <w:jc w:val="both"/>
    </w:pPr>
    <w:rPr>
      <w:rFonts w:ascii="Times New Roman" w:hAnsi="Times New Roman"/>
      <w:sz w:val="24"/>
      <w:szCs w:val="24"/>
    </w:rPr>
  </w:style>
  <w:style w:type="paragraph" w:styleId="Titre1">
    <w:name w:val="heading 1"/>
    <w:basedOn w:val="Normal"/>
    <w:next w:val="Normal"/>
    <w:link w:val="Titre1Car"/>
    <w:uiPriority w:val="9"/>
    <w:qFormat/>
    <w:rsid w:val="009A1319"/>
    <w:pPr>
      <w:keepNext/>
      <w:keepLines/>
      <w:numPr>
        <w:numId w:val="1"/>
      </w:numPr>
      <w:spacing w:before="480" w:after="240"/>
      <w:outlineLvl w:val="0"/>
    </w:pPr>
    <w:rPr>
      <w:rFonts w:ascii="Cambria" w:hAnsi="Cambria"/>
      <w:b/>
      <w:bCs/>
      <w:color w:val="365F91"/>
      <w:sz w:val="28"/>
      <w:szCs w:val="28"/>
      <w:lang w:eastAsia="en-US" w:bidi="en-US"/>
    </w:rPr>
  </w:style>
  <w:style w:type="paragraph" w:styleId="Titre2">
    <w:name w:val="heading 2"/>
    <w:basedOn w:val="TM1"/>
    <w:next w:val="Normal"/>
    <w:link w:val="Titre2Car"/>
    <w:uiPriority w:val="9"/>
    <w:unhideWhenUsed/>
    <w:qFormat/>
    <w:rsid w:val="009A1319"/>
    <w:pPr>
      <w:keepNext/>
      <w:keepLines/>
      <w:numPr>
        <w:ilvl w:val="1"/>
        <w:numId w:val="1"/>
      </w:numPr>
      <w:spacing w:before="240" w:after="240"/>
      <w:outlineLvl w:val="1"/>
    </w:pPr>
    <w:rPr>
      <w:rFonts w:ascii="Cambria" w:hAnsi="Cambria"/>
      <w:color w:val="4F81BD"/>
      <w:sz w:val="26"/>
      <w:szCs w:val="26"/>
    </w:rPr>
  </w:style>
  <w:style w:type="paragraph" w:styleId="Titre3">
    <w:name w:val="heading 3"/>
    <w:basedOn w:val="Normal"/>
    <w:next w:val="Normal"/>
    <w:link w:val="Titre3Car"/>
    <w:uiPriority w:val="9"/>
    <w:unhideWhenUsed/>
    <w:qFormat/>
    <w:rsid w:val="004D10B3"/>
    <w:pPr>
      <w:keepNext/>
      <w:keepLines/>
      <w:numPr>
        <w:ilvl w:val="2"/>
        <w:numId w:val="1"/>
      </w:numPr>
      <w:spacing w:before="200"/>
      <w:outlineLvl w:val="2"/>
    </w:pPr>
    <w:rPr>
      <w:b/>
      <w:bCs/>
      <w:color w:val="4F81BD"/>
      <w:szCs w:val="22"/>
      <w:lang w:eastAsia="en-US" w:bidi="en-US"/>
    </w:rPr>
  </w:style>
  <w:style w:type="paragraph" w:styleId="Titre4">
    <w:name w:val="heading 4"/>
    <w:basedOn w:val="Normal"/>
    <w:next w:val="Normal"/>
    <w:link w:val="Titre4Car"/>
    <w:autoRedefine/>
    <w:uiPriority w:val="9"/>
    <w:unhideWhenUsed/>
    <w:qFormat/>
    <w:rsid w:val="00560106"/>
    <w:pPr>
      <w:keepNext/>
      <w:keepLines/>
      <w:numPr>
        <w:ilvl w:val="3"/>
        <w:numId w:val="1"/>
      </w:numPr>
      <w:spacing w:before="100" w:beforeAutospacing="1" w:after="100" w:afterAutospacing="1"/>
      <w:outlineLvl w:val="3"/>
    </w:pPr>
    <w:rPr>
      <w:rFonts w:ascii="Cambria" w:hAnsi="Cambria"/>
      <w:b/>
      <w:bCs/>
      <w:i/>
      <w:iCs/>
      <w:color w:val="4F81BD"/>
      <w:szCs w:val="22"/>
      <w:lang w:eastAsia="en-US" w:bidi="en-US"/>
    </w:rPr>
  </w:style>
  <w:style w:type="paragraph" w:styleId="Titre5">
    <w:name w:val="heading 5"/>
    <w:basedOn w:val="Normal"/>
    <w:next w:val="Normal"/>
    <w:link w:val="Titre5Car"/>
    <w:uiPriority w:val="9"/>
    <w:unhideWhenUsed/>
    <w:qFormat/>
    <w:rsid w:val="00142F65"/>
    <w:pPr>
      <w:keepNext/>
      <w:keepLines/>
      <w:numPr>
        <w:ilvl w:val="4"/>
        <w:numId w:val="1"/>
      </w:numPr>
      <w:spacing w:before="200"/>
      <w:outlineLvl w:val="4"/>
    </w:pPr>
    <w:rPr>
      <w:rFonts w:ascii="Cambria" w:hAnsi="Cambria"/>
      <w:color w:val="243F60"/>
      <w:sz w:val="22"/>
      <w:szCs w:val="22"/>
      <w:lang w:eastAsia="en-US" w:bidi="en-US"/>
    </w:rPr>
  </w:style>
  <w:style w:type="paragraph" w:styleId="Titre6">
    <w:name w:val="heading 6"/>
    <w:basedOn w:val="Normal"/>
    <w:next w:val="Normal"/>
    <w:link w:val="Titre6Car"/>
    <w:uiPriority w:val="9"/>
    <w:unhideWhenUsed/>
    <w:qFormat/>
    <w:rsid w:val="00142F65"/>
    <w:pPr>
      <w:keepNext/>
      <w:keepLines/>
      <w:numPr>
        <w:ilvl w:val="5"/>
        <w:numId w:val="1"/>
      </w:numPr>
      <w:spacing w:before="200"/>
      <w:outlineLvl w:val="5"/>
    </w:pPr>
    <w:rPr>
      <w:rFonts w:ascii="Cambria" w:hAnsi="Cambria"/>
      <w:i/>
      <w:iCs/>
      <w:color w:val="243F60"/>
      <w:sz w:val="22"/>
      <w:szCs w:val="22"/>
      <w:lang w:eastAsia="en-US" w:bidi="en-US"/>
    </w:rPr>
  </w:style>
  <w:style w:type="paragraph" w:styleId="Titre7">
    <w:name w:val="heading 7"/>
    <w:basedOn w:val="Normal"/>
    <w:next w:val="Normal"/>
    <w:link w:val="Titre7Car"/>
    <w:uiPriority w:val="9"/>
    <w:unhideWhenUsed/>
    <w:qFormat/>
    <w:rsid w:val="00142F65"/>
    <w:pPr>
      <w:keepNext/>
      <w:keepLines/>
      <w:numPr>
        <w:ilvl w:val="6"/>
        <w:numId w:val="1"/>
      </w:numPr>
      <w:spacing w:before="200"/>
      <w:outlineLvl w:val="6"/>
    </w:pPr>
    <w:rPr>
      <w:rFonts w:ascii="Cambria" w:hAnsi="Cambria"/>
      <w:i/>
      <w:iCs/>
      <w:color w:val="404040"/>
      <w:sz w:val="22"/>
      <w:szCs w:val="22"/>
      <w:lang w:eastAsia="en-US" w:bidi="en-US"/>
    </w:rPr>
  </w:style>
  <w:style w:type="paragraph" w:styleId="Titre8">
    <w:name w:val="heading 8"/>
    <w:basedOn w:val="Normal"/>
    <w:next w:val="Normal"/>
    <w:link w:val="Titre8Car"/>
    <w:uiPriority w:val="9"/>
    <w:unhideWhenUsed/>
    <w:qFormat/>
    <w:rsid w:val="00142F65"/>
    <w:pPr>
      <w:keepNext/>
      <w:keepLines/>
      <w:numPr>
        <w:ilvl w:val="7"/>
        <w:numId w:val="1"/>
      </w:numPr>
      <w:spacing w:before="200"/>
      <w:outlineLvl w:val="7"/>
    </w:pPr>
    <w:rPr>
      <w:rFonts w:ascii="Cambria" w:hAnsi="Cambria"/>
      <w:color w:val="4F81BD"/>
      <w:sz w:val="20"/>
      <w:szCs w:val="20"/>
      <w:lang w:eastAsia="en-US" w:bidi="en-US"/>
    </w:rPr>
  </w:style>
  <w:style w:type="paragraph" w:styleId="Titre9">
    <w:name w:val="heading 9"/>
    <w:basedOn w:val="Normal"/>
    <w:next w:val="Normal"/>
    <w:link w:val="Titre9Car"/>
    <w:uiPriority w:val="9"/>
    <w:unhideWhenUsed/>
    <w:qFormat/>
    <w:rsid w:val="00142F65"/>
    <w:pPr>
      <w:keepNext/>
      <w:keepLines/>
      <w:numPr>
        <w:ilvl w:val="8"/>
        <w:numId w:val="1"/>
      </w:numPr>
      <w:spacing w:before="200"/>
      <w:outlineLvl w:val="8"/>
    </w:pPr>
    <w:rPr>
      <w:rFonts w:ascii="Cambria" w:hAnsi="Cambria"/>
      <w:i/>
      <w:iCs/>
      <w:color w:val="404040"/>
      <w:sz w:val="20"/>
      <w:szCs w:val="20"/>
      <w:lang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sid w:val="009A1319"/>
    <w:rPr>
      <w:rFonts w:ascii="Cambria" w:hAnsi="Cambria"/>
      <w:b/>
      <w:bCs/>
      <w:color w:val="365F91"/>
      <w:sz w:val="28"/>
      <w:szCs w:val="28"/>
      <w:lang w:eastAsia="en-US" w:bidi="en-US"/>
    </w:rPr>
  </w:style>
  <w:style w:type="character" w:customStyle="1" w:styleId="Titre2Car">
    <w:name w:val="Titre 2 Car"/>
    <w:basedOn w:val="Policepardfaut"/>
    <w:link w:val="Titre2"/>
    <w:uiPriority w:val="9"/>
    <w:locked/>
    <w:rsid w:val="009A1319"/>
    <w:rPr>
      <w:rFonts w:ascii="Cambria" w:hAnsi="Cambria" w:cs="Calibri"/>
      <w:b/>
      <w:bCs/>
      <w:i/>
      <w:iCs/>
      <w:color w:val="4F81BD"/>
      <w:sz w:val="26"/>
      <w:szCs w:val="26"/>
      <w:lang w:eastAsia="en-US" w:bidi="en-US"/>
    </w:rPr>
  </w:style>
  <w:style w:type="character" w:customStyle="1" w:styleId="Titre3Car">
    <w:name w:val="Titre 3 Car"/>
    <w:basedOn w:val="Policepardfaut"/>
    <w:link w:val="Titre3"/>
    <w:uiPriority w:val="9"/>
    <w:locked/>
    <w:rsid w:val="004D10B3"/>
    <w:rPr>
      <w:rFonts w:ascii="Times New Roman" w:hAnsi="Times New Roman"/>
      <w:b/>
      <w:bCs/>
      <w:color w:val="4F81BD"/>
      <w:sz w:val="24"/>
      <w:szCs w:val="22"/>
      <w:lang w:eastAsia="en-US" w:bidi="en-US"/>
    </w:rPr>
  </w:style>
  <w:style w:type="character" w:customStyle="1" w:styleId="Titre4Car">
    <w:name w:val="Titre 4 Car"/>
    <w:basedOn w:val="Policepardfaut"/>
    <w:link w:val="Titre4"/>
    <w:uiPriority w:val="9"/>
    <w:locked/>
    <w:rsid w:val="00560106"/>
    <w:rPr>
      <w:rFonts w:ascii="Cambria" w:hAnsi="Cambria"/>
      <w:b/>
      <w:bCs/>
      <w:i/>
      <w:iCs/>
      <w:color w:val="4F81BD"/>
      <w:sz w:val="24"/>
      <w:szCs w:val="22"/>
      <w:lang w:eastAsia="en-US" w:bidi="en-US"/>
    </w:rPr>
  </w:style>
  <w:style w:type="character" w:customStyle="1" w:styleId="Titre5Car">
    <w:name w:val="Titre 5 Car"/>
    <w:basedOn w:val="Policepardfaut"/>
    <w:link w:val="Titre5"/>
    <w:uiPriority w:val="9"/>
    <w:locked/>
    <w:rsid w:val="00142F65"/>
    <w:rPr>
      <w:rFonts w:ascii="Cambria" w:hAnsi="Cambria"/>
      <w:color w:val="243F60"/>
      <w:sz w:val="22"/>
      <w:szCs w:val="22"/>
      <w:lang w:eastAsia="en-US" w:bidi="en-US"/>
    </w:rPr>
  </w:style>
  <w:style w:type="character" w:customStyle="1" w:styleId="Titre6Car">
    <w:name w:val="Titre 6 Car"/>
    <w:basedOn w:val="Policepardfaut"/>
    <w:link w:val="Titre6"/>
    <w:uiPriority w:val="9"/>
    <w:locked/>
    <w:rsid w:val="00142F65"/>
    <w:rPr>
      <w:rFonts w:ascii="Cambria" w:hAnsi="Cambria"/>
      <w:i/>
      <w:iCs/>
      <w:color w:val="243F60"/>
      <w:sz w:val="22"/>
      <w:szCs w:val="22"/>
      <w:lang w:eastAsia="en-US" w:bidi="en-US"/>
    </w:rPr>
  </w:style>
  <w:style w:type="character" w:customStyle="1" w:styleId="Titre7Car">
    <w:name w:val="Titre 7 Car"/>
    <w:basedOn w:val="Policepardfaut"/>
    <w:link w:val="Titre7"/>
    <w:uiPriority w:val="9"/>
    <w:locked/>
    <w:rsid w:val="00142F65"/>
    <w:rPr>
      <w:rFonts w:ascii="Cambria" w:hAnsi="Cambria"/>
      <w:i/>
      <w:iCs/>
      <w:color w:val="404040"/>
      <w:sz w:val="22"/>
      <w:szCs w:val="22"/>
      <w:lang w:eastAsia="en-US" w:bidi="en-US"/>
    </w:rPr>
  </w:style>
  <w:style w:type="character" w:customStyle="1" w:styleId="Titre8Car">
    <w:name w:val="Titre 8 Car"/>
    <w:basedOn w:val="Policepardfaut"/>
    <w:link w:val="Titre8"/>
    <w:uiPriority w:val="9"/>
    <w:locked/>
    <w:rsid w:val="00142F65"/>
    <w:rPr>
      <w:rFonts w:ascii="Cambria" w:hAnsi="Cambria"/>
      <w:color w:val="4F81BD"/>
      <w:lang w:eastAsia="en-US" w:bidi="en-US"/>
    </w:rPr>
  </w:style>
  <w:style w:type="character" w:customStyle="1" w:styleId="Titre9Car">
    <w:name w:val="Titre 9 Car"/>
    <w:basedOn w:val="Policepardfaut"/>
    <w:link w:val="Titre9"/>
    <w:uiPriority w:val="9"/>
    <w:locked/>
    <w:rsid w:val="00142F65"/>
    <w:rPr>
      <w:rFonts w:ascii="Cambria" w:hAnsi="Cambria"/>
      <w:i/>
      <w:iCs/>
      <w:color w:val="404040"/>
      <w:lang w:eastAsia="en-US" w:bidi="en-US"/>
    </w:rPr>
  </w:style>
  <w:style w:type="paragraph" w:styleId="Corpsdetexte">
    <w:name w:val="Body Text"/>
    <w:basedOn w:val="Normal"/>
    <w:link w:val="CorpsdetexteCar"/>
    <w:uiPriority w:val="99"/>
    <w:rsid w:val="00131D5D"/>
    <w:rPr>
      <w:rFonts w:ascii="Arial Narrow" w:hAnsi="Arial Narrow"/>
      <w:szCs w:val="22"/>
      <w:lang w:eastAsia="en-US" w:bidi="en-US"/>
    </w:rPr>
  </w:style>
  <w:style w:type="character" w:customStyle="1" w:styleId="CorpsdetexteCar">
    <w:name w:val="Corps de texte Car"/>
    <w:basedOn w:val="Policepardfaut"/>
    <w:link w:val="Corpsdetexte"/>
    <w:uiPriority w:val="99"/>
    <w:locked/>
    <w:rsid w:val="0062710A"/>
    <w:rPr>
      <w:rFonts w:cs="Times New Roman"/>
      <w:sz w:val="20"/>
      <w:szCs w:val="20"/>
    </w:rPr>
  </w:style>
  <w:style w:type="paragraph" w:customStyle="1" w:styleId="Texte">
    <w:name w:val="Texte"/>
    <w:uiPriority w:val="99"/>
    <w:rsid w:val="00131D5D"/>
    <w:pPr>
      <w:spacing w:after="200" w:line="276" w:lineRule="auto"/>
    </w:pPr>
    <w:rPr>
      <w:color w:val="000000"/>
      <w:sz w:val="24"/>
      <w:szCs w:val="22"/>
      <w:lang w:val="en-US" w:eastAsia="en-US" w:bidi="en-US"/>
    </w:rPr>
  </w:style>
  <w:style w:type="paragraph" w:styleId="Corpsdetexte2">
    <w:name w:val="Body Text 2"/>
    <w:basedOn w:val="Normal"/>
    <w:link w:val="Corpsdetexte2Car"/>
    <w:rsid w:val="00131D5D"/>
    <w:rPr>
      <w:rFonts w:ascii="Arial" w:hAnsi="Arial"/>
      <w:sz w:val="22"/>
      <w:szCs w:val="22"/>
      <w:lang w:eastAsia="en-US" w:bidi="en-US"/>
    </w:rPr>
  </w:style>
  <w:style w:type="character" w:customStyle="1" w:styleId="Corpsdetexte2Car">
    <w:name w:val="Corps de texte 2 Car"/>
    <w:basedOn w:val="Policepardfaut"/>
    <w:link w:val="Corpsdetexte2"/>
    <w:semiHidden/>
    <w:locked/>
    <w:rsid w:val="0062710A"/>
    <w:rPr>
      <w:rFonts w:cs="Times New Roman"/>
      <w:sz w:val="20"/>
      <w:szCs w:val="20"/>
    </w:rPr>
  </w:style>
  <w:style w:type="paragraph" w:styleId="En-tte">
    <w:name w:val="header"/>
    <w:basedOn w:val="Normal"/>
    <w:link w:val="En-tteCar"/>
    <w:uiPriority w:val="99"/>
    <w:rsid w:val="00131D5D"/>
    <w:pPr>
      <w:tabs>
        <w:tab w:val="center" w:pos="4536"/>
        <w:tab w:val="right" w:pos="9072"/>
      </w:tabs>
    </w:pPr>
    <w:rPr>
      <w:sz w:val="22"/>
      <w:szCs w:val="22"/>
      <w:lang w:eastAsia="en-US" w:bidi="en-US"/>
    </w:rPr>
  </w:style>
  <w:style w:type="character" w:customStyle="1" w:styleId="En-tteCar">
    <w:name w:val="En-tête Car"/>
    <w:basedOn w:val="Policepardfaut"/>
    <w:link w:val="En-tte"/>
    <w:uiPriority w:val="99"/>
    <w:locked/>
    <w:rsid w:val="0062710A"/>
    <w:rPr>
      <w:rFonts w:cs="Times New Roman"/>
      <w:sz w:val="20"/>
      <w:szCs w:val="20"/>
    </w:rPr>
  </w:style>
  <w:style w:type="paragraph" w:styleId="Pieddepage">
    <w:name w:val="footer"/>
    <w:basedOn w:val="Normal"/>
    <w:link w:val="PieddepageCar"/>
    <w:uiPriority w:val="99"/>
    <w:rsid w:val="00131D5D"/>
    <w:pPr>
      <w:tabs>
        <w:tab w:val="center" w:pos="4536"/>
        <w:tab w:val="right" w:pos="9072"/>
      </w:tabs>
    </w:pPr>
    <w:rPr>
      <w:sz w:val="22"/>
      <w:szCs w:val="22"/>
      <w:lang w:eastAsia="en-US" w:bidi="en-US"/>
    </w:rPr>
  </w:style>
  <w:style w:type="character" w:customStyle="1" w:styleId="PieddepageCar">
    <w:name w:val="Pied de page Car"/>
    <w:basedOn w:val="Policepardfaut"/>
    <w:link w:val="Pieddepage"/>
    <w:uiPriority w:val="99"/>
    <w:locked/>
    <w:rsid w:val="0062710A"/>
    <w:rPr>
      <w:rFonts w:cs="Times New Roman"/>
      <w:sz w:val="20"/>
      <w:szCs w:val="20"/>
    </w:rPr>
  </w:style>
  <w:style w:type="paragraph" w:styleId="Corpsdetexte3">
    <w:name w:val="Body Text 3"/>
    <w:basedOn w:val="Normal"/>
    <w:link w:val="Corpsdetexte3Car"/>
    <w:uiPriority w:val="99"/>
    <w:rsid w:val="00131D5D"/>
    <w:rPr>
      <w:rFonts w:ascii="Arial" w:hAnsi="Arial"/>
      <w:sz w:val="22"/>
      <w:szCs w:val="22"/>
      <w:lang w:eastAsia="en-US" w:bidi="en-US"/>
    </w:rPr>
  </w:style>
  <w:style w:type="character" w:customStyle="1" w:styleId="Corpsdetexte3Car">
    <w:name w:val="Corps de texte 3 Car"/>
    <w:basedOn w:val="Policepardfaut"/>
    <w:link w:val="Corpsdetexte3"/>
    <w:uiPriority w:val="99"/>
    <w:semiHidden/>
    <w:locked/>
    <w:rsid w:val="0062710A"/>
    <w:rPr>
      <w:rFonts w:cs="Times New Roman"/>
      <w:sz w:val="16"/>
      <w:szCs w:val="16"/>
    </w:rPr>
  </w:style>
  <w:style w:type="character" w:styleId="Numrodepage">
    <w:name w:val="page number"/>
    <w:basedOn w:val="Policepardfaut"/>
    <w:uiPriority w:val="99"/>
    <w:rsid w:val="00131D5D"/>
    <w:rPr>
      <w:rFonts w:cs="Times New Roman"/>
    </w:rPr>
  </w:style>
  <w:style w:type="paragraph" w:styleId="Retraitcorpsdetexte">
    <w:name w:val="Body Text Indent"/>
    <w:basedOn w:val="Normal"/>
    <w:link w:val="RetraitcorpsdetexteCar"/>
    <w:uiPriority w:val="99"/>
    <w:rsid w:val="00131D5D"/>
    <w:pPr>
      <w:jc w:val="center"/>
    </w:pPr>
    <w:rPr>
      <w:b/>
      <w:sz w:val="36"/>
      <w:szCs w:val="22"/>
      <w:lang w:eastAsia="en-US" w:bidi="en-US"/>
    </w:rPr>
  </w:style>
  <w:style w:type="character" w:customStyle="1" w:styleId="RetraitcorpsdetexteCar">
    <w:name w:val="Retrait corps de texte Car"/>
    <w:basedOn w:val="Policepardfaut"/>
    <w:link w:val="Retraitcorpsdetexte"/>
    <w:uiPriority w:val="99"/>
    <w:semiHidden/>
    <w:locked/>
    <w:rsid w:val="0062710A"/>
    <w:rPr>
      <w:rFonts w:cs="Times New Roman"/>
      <w:sz w:val="20"/>
      <w:szCs w:val="20"/>
    </w:rPr>
  </w:style>
  <w:style w:type="paragraph" w:styleId="Retraitcorpsdetexte2">
    <w:name w:val="Body Text Indent 2"/>
    <w:basedOn w:val="Normal"/>
    <w:link w:val="Retraitcorpsdetexte2Car"/>
    <w:uiPriority w:val="99"/>
    <w:rsid w:val="00131D5D"/>
    <w:pPr>
      <w:spacing w:line="300" w:lineRule="atLeast"/>
      <w:ind w:left="567"/>
    </w:pPr>
    <w:rPr>
      <w:rFonts w:ascii="Arial" w:hAnsi="Arial"/>
      <w:sz w:val="22"/>
      <w:szCs w:val="22"/>
      <w:lang w:val="en-GB" w:eastAsia="en-US" w:bidi="en-US"/>
    </w:rPr>
  </w:style>
  <w:style w:type="character" w:customStyle="1" w:styleId="Retraitcorpsdetexte2Car">
    <w:name w:val="Retrait corps de texte 2 Car"/>
    <w:basedOn w:val="Policepardfaut"/>
    <w:link w:val="Retraitcorpsdetexte2"/>
    <w:uiPriority w:val="99"/>
    <w:semiHidden/>
    <w:locked/>
    <w:rsid w:val="0062710A"/>
    <w:rPr>
      <w:rFonts w:cs="Times New Roman"/>
      <w:sz w:val="20"/>
      <w:szCs w:val="20"/>
    </w:rPr>
  </w:style>
  <w:style w:type="character" w:styleId="Marquedecommentaire">
    <w:name w:val="annotation reference"/>
    <w:basedOn w:val="Policepardfaut"/>
    <w:uiPriority w:val="99"/>
    <w:semiHidden/>
    <w:rsid w:val="00CA20EA"/>
    <w:rPr>
      <w:rFonts w:cs="Times New Roman"/>
      <w:sz w:val="16"/>
      <w:szCs w:val="16"/>
    </w:rPr>
  </w:style>
  <w:style w:type="paragraph" w:styleId="Commentaire">
    <w:name w:val="annotation text"/>
    <w:basedOn w:val="Normal"/>
    <w:link w:val="CommentaireCar"/>
    <w:uiPriority w:val="99"/>
    <w:semiHidden/>
    <w:rsid w:val="00CA20EA"/>
    <w:rPr>
      <w:sz w:val="22"/>
      <w:szCs w:val="22"/>
      <w:lang w:eastAsia="en-US" w:bidi="en-US"/>
    </w:rPr>
  </w:style>
  <w:style w:type="character" w:customStyle="1" w:styleId="CommentaireCar">
    <w:name w:val="Commentaire Car"/>
    <w:basedOn w:val="Policepardfaut"/>
    <w:link w:val="Commentaire"/>
    <w:uiPriority w:val="99"/>
    <w:semiHidden/>
    <w:locked/>
    <w:rsid w:val="0062710A"/>
    <w:rPr>
      <w:rFonts w:cs="Times New Roman"/>
      <w:sz w:val="20"/>
      <w:szCs w:val="20"/>
    </w:rPr>
  </w:style>
  <w:style w:type="paragraph" w:styleId="Objetducommentaire">
    <w:name w:val="annotation subject"/>
    <w:basedOn w:val="Commentaire"/>
    <w:next w:val="Commentaire"/>
    <w:link w:val="ObjetducommentaireCar"/>
    <w:uiPriority w:val="99"/>
    <w:semiHidden/>
    <w:rsid w:val="00CA20EA"/>
    <w:rPr>
      <w:b/>
      <w:bCs/>
    </w:rPr>
  </w:style>
  <w:style w:type="character" w:customStyle="1" w:styleId="ObjetducommentaireCar">
    <w:name w:val="Objet du commentaire Car"/>
    <w:basedOn w:val="CommentaireCar"/>
    <w:link w:val="Objetducommentaire"/>
    <w:uiPriority w:val="99"/>
    <w:semiHidden/>
    <w:locked/>
    <w:rsid w:val="0062710A"/>
    <w:rPr>
      <w:rFonts w:cs="Times New Roman"/>
      <w:b/>
      <w:bCs/>
      <w:sz w:val="20"/>
      <w:szCs w:val="20"/>
    </w:rPr>
  </w:style>
  <w:style w:type="paragraph" w:styleId="Textedebulles">
    <w:name w:val="Balloon Text"/>
    <w:basedOn w:val="Normal"/>
    <w:link w:val="TextedebullesCar"/>
    <w:uiPriority w:val="99"/>
    <w:rsid w:val="00CA20EA"/>
    <w:rPr>
      <w:rFonts w:ascii="Tahoma" w:hAnsi="Tahoma" w:cs="Tahoma"/>
      <w:sz w:val="16"/>
      <w:szCs w:val="16"/>
      <w:lang w:eastAsia="en-US" w:bidi="en-US"/>
    </w:rPr>
  </w:style>
  <w:style w:type="character" w:customStyle="1" w:styleId="TextedebullesCar">
    <w:name w:val="Texte de bulles Car"/>
    <w:basedOn w:val="Policepardfaut"/>
    <w:link w:val="Textedebulles"/>
    <w:uiPriority w:val="99"/>
    <w:locked/>
    <w:rsid w:val="0062710A"/>
    <w:rPr>
      <w:rFonts w:cs="Times New Roman"/>
      <w:sz w:val="2"/>
    </w:rPr>
  </w:style>
  <w:style w:type="table" w:styleId="Grilledutableau">
    <w:name w:val="Table Grid"/>
    <w:basedOn w:val="TableauNormal"/>
    <w:uiPriority w:val="59"/>
    <w:rsid w:val="00A33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E2E07"/>
    <w:pPr>
      <w:spacing w:before="100" w:beforeAutospacing="1" w:after="100" w:afterAutospacing="1"/>
    </w:pPr>
    <w:rPr>
      <w:lang w:eastAsia="en-US" w:bidi="en-US"/>
    </w:rPr>
  </w:style>
  <w:style w:type="character" w:styleId="Lienhypertexte">
    <w:name w:val="Hyperlink"/>
    <w:basedOn w:val="Policepardfaut"/>
    <w:uiPriority w:val="99"/>
    <w:rsid w:val="003E2E07"/>
    <w:rPr>
      <w:rFonts w:cs="Times New Roman"/>
      <w:color w:val="0033CC"/>
      <w:u w:val="single"/>
    </w:rPr>
  </w:style>
  <w:style w:type="character" w:styleId="lev">
    <w:name w:val="Strong"/>
    <w:basedOn w:val="Policepardfaut"/>
    <w:uiPriority w:val="22"/>
    <w:qFormat/>
    <w:rsid w:val="00142F65"/>
    <w:rPr>
      <w:b/>
      <w:bCs/>
    </w:rPr>
  </w:style>
  <w:style w:type="character" w:styleId="Accentuation">
    <w:name w:val="Emphasis"/>
    <w:basedOn w:val="Policepardfaut"/>
    <w:uiPriority w:val="20"/>
    <w:qFormat/>
    <w:rsid w:val="00142F65"/>
    <w:rPr>
      <w:i/>
      <w:iCs/>
    </w:rPr>
  </w:style>
  <w:style w:type="paragraph" w:styleId="Notedebasdepage">
    <w:name w:val="footnote text"/>
    <w:basedOn w:val="Normal"/>
    <w:link w:val="NotedebasdepageCar"/>
    <w:semiHidden/>
    <w:rsid w:val="005B3C14"/>
    <w:rPr>
      <w:sz w:val="22"/>
      <w:szCs w:val="22"/>
      <w:lang w:eastAsia="en-US" w:bidi="en-US"/>
    </w:rPr>
  </w:style>
  <w:style w:type="character" w:customStyle="1" w:styleId="NotedebasdepageCar">
    <w:name w:val="Note de bas de page Car"/>
    <w:basedOn w:val="Policepardfaut"/>
    <w:link w:val="Notedebasdepage"/>
    <w:semiHidden/>
    <w:locked/>
    <w:rsid w:val="0062710A"/>
    <w:rPr>
      <w:rFonts w:cs="Times New Roman"/>
      <w:sz w:val="20"/>
      <w:szCs w:val="20"/>
    </w:rPr>
  </w:style>
  <w:style w:type="character" w:styleId="Appelnotedebasdep">
    <w:name w:val="footnote reference"/>
    <w:basedOn w:val="Policepardfaut"/>
    <w:semiHidden/>
    <w:rsid w:val="005B3C14"/>
    <w:rPr>
      <w:rFonts w:cs="Times New Roman"/>
      <w:vertAlign w:val="superscript"/>
    </w:rPr>
  </w:style>
  <w:style w:type="paragraph" w:customStyle="1" w:styleId="Paragraphedeliste1">
    <w:name w:val="Paragraphe de liste1"/>
    <w:basedOn w:val="Normal"/>
    <w:uiPriority w:val="99"/>
    <w:rsid w:val="00FD701F"/>
    <w:pPr>
      <w:ind w:left="720"/>
      <w:contextualSpacing/>
    </w:pPr>
    <w:rPr>
      <w:sz w:val="22"/>
      <w:szCs w:val="22"/>
      <w:lang w:eastAsia="en-US" w:bidi="en-US"/>
    </w:rPr>
  </w:style>
  <w:style w:type="paragraph" w:styleId="Paragraphedeliste">
    <w:name w:val="List Paragraph"/>
    <w:basedOn w:val="Normal"/>
    <w:link w:val="ParagraphedelisteCar"/>
    <w:uiPriority w:val="34"/>
    <w:qFormat/>
    <w:rsid w:val="00142F65"/>
    <w:pPr>
      <w:ind w:left="720"/>
      <w:contextualSpacing/>
    </w:pPr>
    <w:rPr>
      <w:sz w:val="22"/>
      <w:szCs w:val="22"/>
      <w:lang w:eastAsia="en-US" w:bidi="en-US"/>
    </w:rPr>
  </w:style>
  <w:style w:type="paragraph" w:styleId="Titre">
    <w:name w:val="Title"/>
    <w:basedOn w:val="Normal"/>
    <w:next w:val="Normal"/>
    <w:link w:val="TitreCar"/>
    <w:uiPriority w:val="10"/>
    <w:qFormat/>
    <w:rsid w:val="00142F65"/>
    <w:pPr>
      <w:pBdr>
        <w:bottom w:val="single" w:sz="8" w:space="4" w:color="4F81BD"/>
      </w:pBdr>
      <w:spacing w:after="300"/>
      <w:contextualSpacing/>
    </w:pPr>
    <w:rPr>
      <w:rFonts w:ascii="Cambria" w:hAnsi="Cambria"/>
      <w:color w:val="17365D"/>
      <w:spacing w:val="5"/>
      <w:kern w:val="28"/>
      <w:sz w:val="52"/>
      <w:szCs w:val="52"/>
      <w:lang w:eastAsia="en-US" w:bidi="en-US"/>
    </w:rPr>
  </w:style>
  <w:style w:type="character" w:customStyle="1" w:styleId="TitreCar">
    <w:name w:val="Titre Car"/>
    <w:basedOn w:val="Policepardfaut"/>
    <w:link w:val="Titre"/>
    <w:uiPriority w:val="10"/>
    <w:rsid w:val="00142F65"/>
    <w:rPr>
      <w:rFonts w:ascii="Cambria" w:eastAsia="Times New Roman" w:hAnsi="Cambria" w:cs="Times New Roman"/>
      <w:color w:val="17365D"/>
      <w:spacing w:val="5"/>
      <w:kern w:val="28"/>
      <w:sz w:val="52"/>
      <w:szCs w:val="52"/>
    </w:rPr>
  </w:style>
  <w:style w:type="paragraph" w:customStyle="1" w:styleId="ListParagraph1">
    <w:name w:val="List Paragraph1"/>
    <w:basedOn w:val="Normal"/>
    <w:uiPriority w:val="99"/>
    <w:rsid w:val="009661D5"/>
    <w:pPr>
      <w:ind w:left="720"/>
      <w:contextualSpacing/>
    </w:pPr>
    <w:rPr>
      <w:rFonts w:ascii="Calibri" w:hAnsi="Calibri"/>
      <w:sz w:val="16"/>
      <w:szCs w:val="16"/>
      <w:lang w:eastAsia="en-US" w:bidi="en-US"/>
    </w:rPr>
  </w:style>
  <w:style w:type="paragraph" w:styleId="Lgende">
    <w:name w:val="caption"/>
    <w:basedOn w:val="Normal"/>
    <w:next w:val="Normal"/>
    <w:uiPriority w:val="35"/>
    <w:unhideWhenUsed/>
    <w:qFormat/>
    <w:locked/>
    <w:rsid w:val="00A54DDB"/>
    <w:rPr>
      <w:b/>
      <w:bCs/>
      <w:color w:val="4F81BD"/>
      <w:sz w:val="22"/>
      <w:szCs w:val="18"/>
      <w:lang w:eastAsia="en-US" w:bidi="en-US"/>
    </w:rPr>
  </w:style>
  <w:style w:type="paragraph" w:styleId="Sous-titre">
    <w:name w:val="Subtitle"/>
    <w:basedOn w:val="Normal"/>
    <w:next w:val="Normal"/>
    <w:link w:val="Sous-titreCar"/>
    <w:uiPriority w:val="11"/>
    <w:qFormat/>
    <w:locked/>
    <w:rsid w:val="00142F65"/>
    <w:pPr>
      <w:numPr>
        <w:ilvl w:val="1"/>
      </w:numPr>
    </w:pPr>
    <w:rPr>
      <w:rFonts w:ascii="Cambria" w:hAnsi="Cambria"/>
      <w:i/>
      <w:iCs/>
      <w:color w:val="4F81BD"/>
      <w:spacing w:val="15"/>
      <w:lang w:eastAsia="en-US" w:bidi="en-US"/>
    </w:rPr>
  </w:style>
  <w:style w:type="character" w:customStyle="1" w:styleId="Sous-titreCar">
    <w:name w:val="Sous-titre Car"/>
    <w:basedOn w:val="Policepardfaut"/>
    <w:link w:val="Sous-titre"/>
    <w:uiPriority w:val="11"/>
    <w:rsid w:val="00142F65"/>
    <w:rPr>
      <w:rFonts w:ascii="Cambria" w:eastAsia="Times New Roman" w:hAnsi="Cambria" w:cs="Times New Roman"/>
      <w:i/>
      <w:iCs/>
      <w:color w:val="4F81BD"/>
      <w:spacing w:val="15"/>
      <w:sz w:val="24"/>
      <w:szCs w:val="24"/>
    </w:rPr>
  </w:style>
  <w:style w:type="paragraph" w:styleId="Sansinterligne">
    <w:name w:val="No Spacing"/>
    <w:uiPriority w:val="1"/>
    <w:qFormat/>
    <w:rsid w:val="00142F65"/>
    <w:rPr>
      <w:sz w:val="22"/>
      <w:szCs w:val="22"/>
      <w:lang w:val="en-US" w:eastAsia="en-US" w:bidi="en-US"/>
    </w:rPr>
  </w:style>
  <w:style w:type="paragraph" w:styleId="Citation">
    <w:name w:val="Quote"/>
    <w:basedOn w:val="Normal"/>
    <w:next w:val="Normal"/>
    <w:link w:val="CitationCar"/>
    <w:uiPriority w:val="29"/>
    <w:qFormat/>
    <w:rsid w:val="00142F65"/>
    <w:rPr>
      <w:i/>
      <w:iCs/>
      <w:color w:val="000000"/>
      <w:sz w:val="22"/>
      <w:szCs w:val="22"/>
      <w:lang w:eastAsia="en-US" w:bidi="en-US"/>
    </w:rPr>
  </w:style>
  <w:style w:type="character" w:customStyle="1" w:styleId="CitationCar">
    <w:name w:val="Citation Car"/>
    <w:basedOn w:val="Policepardfaut"/>
    <w:link w:val="Citation"/>
    <w:uiPriority w:val="29"/>
    <w:rsid w:val="00142F65"/>
    <w:rPr>
      <w:i/>
      <w:iCs/>
      <w:color w:val="000000"/>
    </w:rPr>
  </w:style>
  <w:style w:type="paragraph" w:styleId="Citationintense">
    <w:name w:val="Intense Quote"/>
    <w:basedOn w:val="Normal"/>
    <w:next w:val="Normal"/>
    <w:link w:val="CitationintenseCar"/>
    <w:uiPriority w:val="30"/>
    <w:qFormat/>
    <w:rsid w:val="00142F65"/>
    <w:pPr>
      <w:pBdr>
        <w:bottom w:val="single" w:sz="4" w:space="4" w:color="4F81BD"/>
      </w:pBdr>
      <w:spacing w:before="200" w:after="280"/>
      <w:ind w:left="936" w:right="936"/>
    </w:pPr>
    <w:rPr>
      <w:b/>
      <w:bCs/>
      <w:i/>
      <w:iCs/>
      <w:color w:val="4F81BD"/>
      <w:sz w:val="22"/>
      <w:szCs w:val="22"/>
      <w:lang w:eastAsia="en-US" w:bidi="en-US"/>
    </w:rPr>
  </w:style>
  <w:style w:type="character" w:customStyle="1" w:styleId="CitationintenseCar">
    <w:name w:val="Citation intense Car"/>
    <w:basedOn w:val="Policepardfaut"/>
    <w:link w:val="Citationintense"/>
    <w:uiPriority w:val="30"/>
    <w:rsid w:val="00142F65"/>
    <w:rPr>
      <w:b/>
      <w:bCs/>
      <w:i/>
      <w:iCs/>
      <w:color w:val="4F81BD"/>
    </w:rPr>
  </w:style>
  <w:style w:type="character" w:styleId="Emphaseple">
    <w:name w:val="Subtle Emphasis"/>
    <w:basedOn w:val="Policepardfaut"/>
    <w:uiPriority w:val="19"/>
    <w:qFormat/>
    <w:rsid w:val="00142F65"/>
    <w:rPr>
      <w:i/>
      <w:iCs/>
      <w:color w:val="808080"/>
    </w:rPr>
  </w:style>
  <w:style w:type="character" w:styleId="Emphaseintense">
    <w:name w:val="Intense Emphasis"/>
    <w:basedOn w:val="Policepardfaut"/>
    <w:uiPriority w:val="21"/>
    <w:qFormat/>
    <w:rsid w:val="00142F65"/>
    <w:rPr>
      <w:b/>
      <w:bCs/>
      <w:i/>
      <w:iCs/>
      <w:color w:val="4F81BD"/>
    </w:rPr>
  </w:style>
  <w:style w:type="character" w:styleId="Rfrenceple">
    <w:name w:val="Subtle Reference"/>
    <w:basedOn w:val="Policepardfaut"/>
    <w:uiPriority w:val="31"/>
    <w:qFormat/>
    <w:rsid w:val="00142F65"/>
    <w:rPr>
      <w:smallCaps/>
      <w:color w:val="C0504D"/>
      <w:u w:val="single"/>
    </w:rPr>
  </w:style>
  <w:style w:type="character" w:styleId="Rfrenceintense">
    <w:name w:val="Intense Reference"/>
    <w:basedOn w:val="Policepardfaut"/>
    <w:uiPriority w:val="32"/>
    <w:qFormat/>
    <w:rsid w:val="00142F65"/>
    <w:rPr>
      <w:b/>
      <w:bCs/>
      <w:smallCaps/>
      <w:color w:val="C0504D"/>
      <w:spacing w:val="5"/>
      <w:u w:val="single"/>
    </w:rPr>
  </w:style>
  <w:style w:type="character" w:styleId="Titredulivre">
    <w:name w:val="Book Title"/>
    <w:basedOn w:val="Policepardfaut"/>
    <w:uiPriority w:val="33"/>
    <w:qFormat/>
    <w:rsid w:val="00142F65"/>
    <w:rPr>
      <w:b/>
      <w:bCs/>
      <w:smallCaps/>
      <w:spacing w:val="5"/>
    </w:rPr>
  </w:style>
  <w:style w:type="paragraph" w:styleId="En-ttedetabledesmatires">
    <w:name w:val="TOC Heading"/>
    <w:basedOn w:val="Titre1"/>
    <w:next w:val="Normal"/>
    <w:uiPriority w:val="39"/>
    <w:unhideWhenUsed/>
    <w:qFormat/>
    <w:rsid w:val="00142F65"/>
    <w:pPr>
      <w:outlineLvl w:val="9"/>
    </w:pPr>
  </w:style>
  <w:style w:type="paragraph" w:styleId="TM2">
    <w:name w:val="toc 2"/>
    <w:basedOn w:val="Normal"/>
    <w:next w:val="Normal"/>
    <w:autoRedefine/>
    <w:uiPriority w:val="39"/>
    <w:qFormat/>
    <w:rsid w:val="00926521"/>
    <w:pPr>
      <w:spacing w:before="120"/>
      <w:ind w:left="220"/>
    </w:pPr>
    <w:rPr>
      <w:rFonts w:ascii="Calibri" w:hAnsi="Calibri" w:cs="Calibri"/>
      <w:b/>
      <w:bCs/>
      <w:sz w:val="22"/>
      <w:szCs w:val="22"/>
      <w:lang w:eastAsia="en-US" w:bidi="en-US"/>
    </w:rPr>
  </w:style>
  <w:style w:type="paragraph" w:styleId="TM1">
    <w:name w:val="toc 1"/>
    <w:basedOn w:val="Normal"/>
    <w:next w:val="Normal"/>
    <w:autoRedefine/>
    <w:uiPriority w:val="39"/>
    <w:qFormat/>
    <w:rsid w:val="00957379"/>
    <w:pPr>
      <w:spacing w:before="120"/>
    </w:pPr>
    <w:rPr>
      <w:rFonts w:ascii="Calibri" w:hAnsi="Calibri" w:cs="Calibri"/>
      <w:b/>
      <w:bCs/>
      <w:i/>
      <w:iCs/>
      <w:lang w:eastAsia="en-US" w:bidi="en-US"/>
    </w:rPr>
  </w:style>
  <w:style w:type="paragraph" w:styleId="TM3">
    <w:name w:val="toc 3"/>
    <w:basedOn w:val="Normal"/>
    <w:next w:val="Normal"/>
    <w:autoRedefine/>
    <w:uiPriority w:val="39"/>
    <w:qFormat/>
    <w:rsid w:val="00926521"/>
    <w:pPr>
      <w:ind w:left="440"/>
    </w:pPr>
    <w:rPr>
      <w:rFonts w:ascii="Calibri" w:hAnsi="Calibri" w:cs="Calibri"/>
      <w:sz w:val="20"/>
      <w:szCs w:val="20"/>
      <w:lang w:eastAsia="en-US" w:bidi="en-US"/>
    </w:rPr>
  </w:style>
  <w:style w:type="paragraph" w:styleId="TM4">
    <w:name w:val="toc 4"/>
    <w:basedOn w:val="Normal"/>
    <w:next w:val="Normal"/>
    <w:autoRedefine/>
    <w:uiPriority w:val="39"/>
    <w:rsid w:val="00BB4D89"/>
    <w:pPr>
      <w:ind w:left="660"/>
    </w:pPr>
    <w:rPr>
      <w:rFonts w:ascii="Calibri" w:hAnsi="Calibri" w:cs="Calibri"/>
      <w:sz w:val="20"/>
      <w:szCs w:val="20"/>
      <w:lang w:eastAsia="en-US" w:bidi="en-US"/>
    </w:rPr>
  </w:style>
  <w:style w:type="paragraph" w:styleId="TM5">
    <w:name w:val="toc 5"/>
    <w:basedOn w:val="Normal"/>
    <w:next w:val="Normal"/>
    <w:autoRedefine/>
    <w:uiPriority w:val="39"/>
    <w:rsid w:val="00BB4D89"/>
    <w:pPr>
      <w:ind w:left="880"/>
    </w:pPr>
    <w:rPr>
      <w:rFonts w:ascii="Calibri" w:hAnsi="Calibri" w:cs="Calibri"/>
      <w:sz w:val="20"/>
      <w:szCs w:val="20"/>
      <w:lang w:eastAsia="en-US" w:bidi="en-US"/>
    </w:rPr>
  </w:style>
  <w:style w:type="paragraph" w:styleId="TM6">
    <w:name w:val="toc 6"/>
    <w:basedOn w:val="Normal"/>
    <w:next w:val="Normal"/>
    <w:autoRedefine/>
    <w:uiPriority w:val="39"/>
    <w:rsid w:val="00BB4D89"/>
    <w:pPr>
      <w:ind w:left="1100"/>
    </w:pPr>
    <w:rPr>
      <w:rFonts w:ascii="Calibri" w:hAnsi="Calibri" w:cs="Calibri"/>
      <w:sz w:val="20"/>
      <w:szCs w:val="20"/>
      <w:lang w:eastAsia="en-US" w:bidi="en-US"/>
    </w:rPr>
  </w:style>
  <w:style w:type="paragraph" w:styleId="TM7">
    <w:name w:val="toc 7"/>
    <w:basedOn w:val="Normal"/>
    <w:next w:val="Normal"/>
    <w:autoRedefine/>
    <w:uiPriority w:val="39"/>
    <w:rsid w:val="00BB4D89"/>
    <w:pPr>
      <w:ind w:left="1320"/>
    </w:pPr>
    <w:rPr>
      <w:rFonts w:ascii="Calibri" w:hAnsi="Calibri" w:cs="Calibri"/>
      <w:sz w:val="20"/>
      <w:szCs w:val="20"/>
      <w:lang w:eastAsia="en-US" w:bidi="en-US"/>
    </w:rPr>
  </w:style>
  <w:style w:type="paragraph" w:styleId="TM8">
    <w:name w:val="toc 8"/>
    <w:basedOn w:val="Normal"/>
    <w:next w:val="Normal"/>
    <w:autoRedefine/>
    <w:uiPriority w:val="39"/>
    <w:rsid w:val="00BB4D89"/>
    <w:pPr>
      <w:ind w:left="1540"/>
    </w:pPr>
    <w:rPr>
      <w:rFonts w:ascii="Calibri" w:hAnsi="Calibri" w:cs="Calibri"/>
      <w:sz w:val="20"/>
      <w:szCs w:val="20"/>
      <w:lang w:eastAsia="en-US" w:bidi="en-US"/>
    </w:rPr>
  </w:style>
  <w:style w:type="paragraph" w:styleId="TM9">
    <w:name w:val="toc 9"/>
    <w:basedOn w:val="Normal"/>
    <w:next w:val="Normal"/>
    <w:autoRedefine/>
    <w:uiPriority w:val="39"/>
    <w:rsid w:val="00BB4D89"/>
    <w:pPr>
      <w:ind w:left="1760"/>
    </w:pPr>
    <w:rPr>
      <w:rFonts w:ascii="Calibri" w:hAnsi="Calibri" w:cs="Calibri"/>
      <w:sz w:val="20"/>
      <w:szCs w:val="20"/>
      <w:lang w:eastAsia="en-US" w:bidi="en-US"/>
    </w:rPr>
  </w:style>
  <w:style w:type="paragraph" w:customStyle="1" w:styleId="puce3meniveau">
    <w:name w:val="puce 3ème niveau"/>
    <w:basedOn w:val="Normal"/>
    <w:rsid w:val="002A6CE8"/>
    <w:pPr>
      <w:numPr>
        <w:ilvl w:val="2"/>
        <w:numId w:val="2"/>
      </w:numPr>
      <w:ind w:left="2127"/>
    </w:pPr>
    <w:rPr>
      <w:rFonts w:ascii="Calibri" w:hAnsi="Calibri"/>
      <w:szCs w:val="20"/>
    </w:rPr>
  </w:style>
  <w:style w:type="paragraph" w:customStyle="1" w:styleId="puceS2">
    <w:name w:val="puce S2"/>
    <w:basedOn w:val="Normal"/>
    <w:rsid w:val="002A6CE8"/>
    <w:pPr>
      <w:numPr>
        <w:numId w:val="2"/>
      </w:numPr>
      <w:ind w:left="1276"/>
    </w:pPr>
    <w:rPr>
      <w:rFonts w:ascii="Calibri" w:hAnsi="Calibri"/>
      <w:szCs w:val="20"/>
    </w:rPr>
  </w:style>
  <w:style w:type="paragraph" w:customStyle="1" w:styleId="puceS3">
    <w:name w:val="puce S3"/>
    <w:basedOn w:val="Normal"/>
    <w:rsid w:val="002A6CE8"/>
    <w:pPr>
      <w:numPr>
        <w:ilvl w:val="1"/>
        <w:numId w:val="2"/>
      </w:numPr>
      <w:ind w:left="1701"/>
    </w:pPr>
    <w:rPr>
      <w:rFonts w:ascii="Calibri" w:hAnsi="Calibri"/>
      <w:szCs w:val="20"/>
    </w:rPr>
  </w:style>
  <w:style w:type="paragraph" w:customStyle="1" w:styleId="Paragraphedeliste2">
    <w:name w:val="Paragraphe de liste2"/>
    <w:basedOn w:val="Normal"/>
    <w:rsid w:val="002A6CE8"/>
    <w:pPr>
      <w:spacing w:after="200" w:line="276" w:lineRule="auto"/>
      <w:ind w:left="720"/>
      <w:contextualSpacing/>
    </w:pPr>
    <w:rPr>
      <w:rFonts w:ascii="Calibri" w:hAnsi="Calibri"/>
      <w:sz w:val="22"/>
      <w:szCs w:val="22"/>
      <w:lang w:eastAsia="en-US"/>
    </w:rPr>
  </w:style>
  <w:style w:type="paragraph" w:styleId="Textebrut">
    <w:name w:val="Plain Text"/>
    <w:basedOn w:val="Normal"/>
    <w:link w:val="TextebrutCar"/>
    <w:uiPriority w:val="99"/>
    <w:unhideWhenUsed/>
    <w:locked/>
    <w:rsid w:val="002A6CE8"/>
    <w:rPr>
      <w:rFonts w:ascii="Consolas" w:eastAsia="Calibri" w:hAnsi="Consolas"/>
      <w:sz w:val="21"/>
      <w:szCs w:val="21"/>
      <w:lang w:eastAsia="en-US"/>
    </w:rPr>
  </w:style>
  <w:style w:type="character" w:customStyle="1" w:styleId="TextebrutCar">
    <w:name w:val="Texte brut Car"/>
    <w:basedOn w:val="Policepardfaut"/>
    <w:link w:val="Textebrut"/>
    <w:uiPriority w:val="99"/>
    <w:rsid w:val="002A6CE8"/>
    <w:rPr>
      <w:rFonts w:ascii="Consolas" w:eastAsia="Calibri" w:hAnsi="Consolas"/>
      <w:sz w:val="21"/>
      <w:szCs w:val="21"/>
      <w:lang w:eastAsia="en-US"/>
    </w:rPr>
  </w:style>
  <w:style w:type="character" w:customStyle="1" w:styleId="catalogtextcell">
    <w:name w:val="catalog_text_cell"/>
    <w:basedOn w:val="Policepardfaut"/>
    <w:rsid w:val="002A6CE8"/>
  </w:style>
  <w:style w:type="character" w:customStyle="1" w:styleId="hit">
    <w:name w:val="hit"/>
    <w:basedOn w:val="Policepardfaut"/>
    <w:rsid w:val="002A6CE8"/>
  </w:style>
  <w:style w:type="character" w:customStyle="1" w:styleId="citation0">
    <w:name w:val="citation"/>
    <w:basedOn w:val="Policepardfaut"/>
    <w:rsid w:val="002A6CE8"/>
  </w:style>
  <w:style w:type="character" w:customStyle="1" w:styleId="ref-journal">
    <w:name w:val="ref-journal"/>
    <w:basedOn w:val="Policepardfaut"/>
    <w:rsid w:val="002A6CE8"/>
  </w:style>
  <w:style w:type="character" w:customStyle="1" w:styleId="ref-vol">
    <w:name w:val="ref-vol"/>
    <w:basedOn w:val="Policepardfaut"/>
    <w:rsid w:val="002A6CE8"/>
  </w:style>
  <w:style w:type="character" w:customStyle="1" w:styleId="ParagraphedelisteCar">
    <w:name w:val="Paragraphe de liste Car"/>
    <w:basedOn w:val="Policepardfaut"/>
    <w:link w:val="Paragraphedeliste"/>
    <w:uiPriority w:val="34"/>
    <w:rsid w:val="001B260E"/>
    <w:rPr>
      <w:rFonts w:ascii="Times New Roman" w:hAnsi="Times New Roman"/>
      <w:sz w:val="22"/>
      <w:szCs w:val="22"/>
      <w:lang w:val="en-US" w:eastAsia="en-US" w:bidi="en-US"/>
    </w:rPr>
  </w:style>
  <w:style w:type="paragraph" w:customStyle="1" w:styleId="Standard">
    <w:name w:val="Standard"/>
    <w:link w:val="StandardCar"/>
    <w:qFormat/>
    <w:rsid w:val="00851EB1"/>
    <w:pPr>
      <w:widowControl w:val="0"/>
      <w:suppressAutoHyphens/>
      <w:autoSpaceDN w:val="0"/>
      <w:jc w:val="both"/>
      <w:textAlignment w:val="baseline"/>
    </w:pPr>
    <w:rPr>
      <w:rFonts w:ascii="Times New Roman" w:eastAsia="SimSun" w:hAnsi="Times New Roman" w:cs="Mangal"/>
      <w:kern w:val="3"/>
      <w:sz w:val="24"/>
      <w:szCs w:val="24"/>
      <w:lang w:eastAsia="zh-CN" w:bidi="hi-IN"/>
    </w:rPr>
  </w:style>
  <w:style w:type="paragraph" w:customStyle="1" w:styleId="Default">
    <w:name w:val="Default"/>
    <w:rsid w:val="001B260E"/>
    <w:pPr>
      <w:autoSpaceDE w:val="0"/>
      <w:autoSpaceDN w:val="0"/>
      <w:adjustRightInd w:val="0"/>
    </w:pPr>
    <w:rPr>
      <w:rFonts w:ascii="Arial" w:eastAsia="Calibri" w:hAnsi="Arial" w:cs="Arial"/>
      <w:color w:val="000000"/>
      <w:sz w:val="24"/>
      <w:szCs w:val="24"/>
      <w:lang w:eastAsia="en-US"/>
    </w:rPr>
  </w:style>
  <w:style w:type="character" w:customStyle="1" w:styleId="st1">
    <w:name w:val="st1"/>
    <w:basedOn w:val="Policepardfaut"/>
    <w:rsid w:val="001B260E"/>
  </w:style>
  <w:style w:type="character" w:customStyle="1" w:styleId="st">
    <w:name w:val="st"/>
    <w:basedOn w:val="Policepardfaut"/>
    <w:rsid w:val="001B260E"/>
  </w:style>
  <w:style w:type="character" w:customStyle="1" w:styleId="hps">
    <w:name w:val="hps"/>
    <w:basedOn w:val="Policepardfaut"/>
    <w:rsid w:val="001B260E"/>
  </w:style>
  <w:style w:type="character" w:customStyle="1" w:styleId="textecourant">
    <w:name w:val="textecourant"/>
    <w:basedOn w:val="Policepardfaut"/>
    <w:rsid w:val="001B260E"/>
  </w:style>
  <w:style w:type="paragraph" w:customStyle="1" w:styleId="WW-Standard">
    <w:name w:val="WW-Standard"/>
    <w:rsid w:val="00440B6C"/>
    <w:pPr>
      <w:widowControl w:val="0"/>
      <w:suppressAutoHyphens/>
      <w:textAlignment w:val="baseline"/>
    </w:pPr>
    <w:rPr>
      <w:rFonts w:ascii="Times New Roman" w:eastAsia="SimSun" w:hAnsi="Times New Roman" w:cs="Mangal"/>
      <w:kern w:val="1"/>
      <w:sz w:val="24"/>
      <w:szCs w:val="24"/>
      <w:lang w:eastAsia="hi-IN" w:bidi="hi-IN"/>
    </w:rPr>
  </w:style>
  <w:style w:type="paragraph" w:customStyle="1" w:styleId="Textbody">
    <w:name w:val="Text body"/>
    <w:basedOn w:val="Standard"/>
    <w:rsid w:val="00440B6C"/>
    <w:pPr>
      <w:spacing w:after="120"/>
    </w:pPr>
  </w:style>
  <w:style w:type="paragraph" w:customStyle="1" w:styleId="TableContents">
    <w:name w:val="Table Contents"/>
    <w:basedOn w:val="Standard"/>
    <w:rsid w:val="00440B6C"/>
    <w:pPr>
      <w:suppressLineNumbers/>
    </w:pPr>
  </w:style>
  <w:style w:type="character" w:customStyle="1" w:styleId="WW8Num3z0">
    <w:name w:val="WW8Num3z0"/>
    <w:rsid w:val="00440B6C"/>
    <w:rPr>
      <w:rFonts w:ascii="Symbol" w:hAnsi="Symbol" w:cs="OpenSymbol"/>
    </w:rPr>
  </w:style>
  <w:style w:type="character" w:customStyle="1" w:styleId="WW8Num4z0">
    <w:name w:val="WW8Num4z0"/>
    <w:rsid w:val="00440B6C"/>
    <w:rPr>
      <w:rFonts w:ascii="Symbol" w:hAnsi="Symbol" w:cs="OpenSymbol"/>
    </w:rPr>
  </w:style>
  <w:style w:type="character" w:customStyle="1" w:styleId="WW8Num5z0">
    <w:name w:val="WW8Num5z0"/>
    <w:rsid w:val="00440B6C"/>
    <w:rPr>
      <w:rFonts w:ascii="Symbol" w:hAnsi="Symbol" w:cs="OpenSymbol"/>
    </w:rPr>
  </w:style>
  <w:style w:type="character" w:customStyle="1" w:styleId="Policepardfaut2">
    <w:name w:val="Police par défaut2"/>
    <w:rsid w:val="00440B6C"/>
  </w:style>
  <w:style w:type="character" w:customStyle="1" w:styleId="WW8Num7z0">
    <w:name w:val="WW8Num7z0"/>
    <w:rsid w:val="00440B6C"/>
    <w:rPr>
      <w:rFonts w:ascii="OpenSymbol" w:eastAsia="OpenSymbol" w:hAnsi="OpenSymbol" w:cs="OpenSymbol"/>
    </w:rPr>
  </w:style>
  <w:style w:type="character" w:customStyle="1" w:styleId="WW8Num9z0">
    <w:name w:val="WW8Num9z0"/>
    <w:rsid w:val="00440B6C"/>
    <w:rPr>
      <w:rFonts w:ascii="OpenSymbol" w:eastAsia="OpenSymbol" w:hAnsi="OpenSymbol" w:cs="OpenSymbol"/>
    </w:rPr>
  </w:style>
  <w:style w:type="character" w:customStyle="1" w:styleId="WW8Num10z0">
    <w:name w:val="WW8Num10z0"/>
    <w:rsid w:val="00440B6C"/>
    <w:rPr>
      <w:rFonts w:ascii="OpenSymbol" w:eastAsia="OpenSymbol" w:hAnsi="OpenSymbol" w:cs="OpenSymbol"/>
    </w:rPr>
  </w:style>
  <w:style w:type="character" w:customStyle="1" w:styleId="WW8Num12z0">
    <w:name w:val="WW8Num12z0"/>
    <w:rsid w:val="00440B6C"/>
    <w:rPr>
      <w:rFonts w:ascii="OpenSymbol" w:eastAsia="OpenSymbol" w:hAnsi="OpenSymbol" w:cs="OpenSymbol"/>
    </w:rPr>
  </w:style>
  <w:style w:type="character" w:customStyle="1" w:styleId="WW8Num17z0">
    <w:name w:val="WW8Num17z0"/>
    <w:rsid w:val="00440B6C"/>
    <w:rPr>
      <w:rFonts w:ascii="OpenSymbol" w:eastAsia="OpenSymbol" w:hAnsi="OpenSymbol" w:cs="OpenSymbol"/>
    </w:rPr>
  </w:style>
  <w:style w:type="character" w:customStyle="1" w:styleId="WW8Num19z0">
    <w:name w:val="WW8Num19z0"/>
    <w:rsid w:val="00440B6C"/>
    <w:rPr>
      <w:rFonts w:ascii="OpenSymbol" w:eastAsia="OpenSymbol" w:hAnsi="OpenSymbol" w:cs="OpenSymbol"/>
    </w:rPr>
  </w:style>
  <w:style w:type="character" w:customStyle="1" w:styleId="Policepardfaut1">
    <w:name w:val="Police par défaut1"/>
    <w:rsid w:val="00440B6C"/>
  </w:style>
  <w:style w:type="character" w:customStyle="1" w:styleId="NumberingSymbols">
    <w:name w:val="Numbering Symbols"/>
    <w:rsid w:val="00440B6C"/>
  </w:style>
  <w:style w:type="character" w:customStyle="1" w:styleId="Internetlink">
    <w:name w:val="Internet link"/>
    <w:rsid w:val="00440B6C"/>
    <w:rPr>
      <w:color w:val="000080"/>
      <w:u w:val="single"/>
    </w:rPr>
  </w:style>
  <w:style w:type="character" w:customStyle="1" w:styleId="StrongEmphasis">
    <w:name w:val="Strong Emphasis"/>
    <w:rsid w:val="00440B6C"/>
    <w:rPr>
      <w:b/>
      <w:bCs/>
    </w:rPr>
  </w:style>
  <w:style w:type="character" w:customStyle="1" w:styleId="BulletSymbols">
    <w:name w:val="Bullet Symbols"/>
    <w:rsid w:val="00440B6C"/>
    <w:rPr>
      <w:rFonts w:ascii="OpenSymbol" w:eastAsia="OpenSymbol" w:hAnsi="OpenSymbol" w:cs="OpenSymbol"/>
    </w:rPr>
  </w:style>
  <w:style w:type="character" w:customStyle="1" w:styleId="PieddepageCar1">
    <w:name w:val="Pied de page Car1"/>
    <w:basedOn w:val="Policepardfaut1"/>
    <w:rsid w:val="00440B6C"/>
    <w:rPr>
      <w:rFonts w:ascii="Times New Roman" w:eastAsia="SimSun" w:hAnsi="Times New Roman" w:cs="Mangal"/>
      <w:kern w:val="1"/>
      <w:sz w:val="24"/>
      <w:szCs w:val="21"/>
      <w:lang w:eastAsia="hi-IN" w:bidi="hi-IN"/>
    </w:rPr>
  </w:style>
  <w:style w:type="character" w:customStyle="1" w:styleId="Puces">
    <w:name w:val="Puces"/>
    <w:rsid w:val="00440B6C"/>
    <w:rPr>
      <w:rFonts w:ascii="OpenSymbol" w:eastAsia="OpenSymbol" w:hAnsi="OpenSymbol" w:cs="OpenSymbol"/>
    </w:rPr>
  </w:style>
  <w:style w:type="paragraph" w:customStyle="1" w:styleId="Titre20">
    <w:name w:val="Titre2"/>
    <w:basedOn w:val="Normal"/>
    <w:next w:val="Corpsdetexte"/>
    <w:rsid w:val="00440B6C"/>
    <w:pPr>
      <w:keepNext/>
      <w:widowControl w:val="0"/>
      <w:suppressAutoHyphens/>
      <w:spacing w:before="240" w:after="120"/>
      <w:textAlignment w:val="baseline"/>
    </w:pPr>
    <w:rPr>
      <w:rFonts w:ascii="Arial" w:eastAsia="Microsoft YaHei" w:hAnsi="Arial" w:cs="Mangal"/>
      <w:kern w:val="1"/>
      <w:sz w:val="28"/>
      <w:szCs w:val="28"/>
      <w:lang w:eastAsia="hi-IN" w:bidi="hi-IN"/>
    </w:rPr>
  </w:style>
  <w:style w:type="paragraph" w:styleId="Liste">
    <w:name w:val="List"/>
    <w:basedOn w:val="Textbody"/>
    <w:locked/>
    <w:rsid w:val="00440B6C"/>
    <w:pPr>
      <w:autoSpaceDN/>
    </w:pPr>
    <w:rPr>
      <w:kern w:val="1"/>
      <w:lang w:eastAsia="hi-IN"/>
    </w:rPr>
  </w:style>
  <w:style w:type="paragraph" w:customStyle="1" w:styleId="Lgende2">
    <w:name w:val="Légende2"/>
    <w:basedOn w:val="Normal"/>
    <w:rsid w:val="00440B6C"/>
    <w:pPr>
      <w:widowControl w:val="0"/>
      <w:suppressLineNumbers/>
      <w:suppressAutoHyphens/>
      <w:spacing w:before="120" w:after="120"/>
      <w:textAlignment w:val="baseline"/>
    </w:pPr>
    <w:rPr>
      <w:rFonts w:eastAsia="SimSun" w:cs="Mangal"/>
      <w:i/>
      <w:iCs/>
      <w:kern w:val="1"/>
      <w:lang w:eastAsia="hi-IN" w:bidi="hi-IN"/>
    </w:rPr>
  </w:style>
  <w:style w:type="paragraph" w:customStyle="1" w:styleId="Index">
    <w:name w:val="Index"/>
    <w:basedOn w:val="WW-Standard"/>
    <w:rsid w:val="00440B6C"/>
    <w:pPr>
      <w:suppressLineNumbers/>
    </w:pPr>
  </w:style>
  <w:style w:type="paragraph" w:customStyle="1" w:styleId="Titre10">
    <w:name w:val="Titre1"/>
    <w:basedOn w:val="Normal"/>
    <w:next w:val="Corpsdetexte"/>
    <w:rsid w:val="00440B6C"/>
    <w:pPr>
      <w:keepNext/>
      <w:widowControl w:val="0"/>
      <w:suppressAutoHyphens/>
      <w:spacing w:before="240" w:after="120"/>
      <w:textAlignment w:val="baseline"/>
    </w:pPr>
    <w:rPr>
      <w:rFonts w:ascii="Arial" w:eastAsia="Microsoft YaHei" w:hAnsi="Arial" w:cs="Mangal"/>
      <w:kern w:val="1"/>
      <w:sz w:val="28"/>
      <w:szCs w:val="28"/>
      <w:lang w:eastAsia="hi-IN" w:bidi="hi-IN"/>
    </w:rPr>
  </w:style>
  <w:style w:type="paragraph" w:customStyle="1" w:styleId="Lgende1">
    <w:name w:val="Légende1"/>
    <w:basedOn w:val="Normal"/>
    <w:rsid w:val="00440B6C"/>
    <w:pPr>
      <w:widowControl w:val="0"/>
      <w:suppressLineNumbers/>
      <w:suppressAutoHyphens/>
      <w:spacing w:before="120" w:after="120"/>
      <w:textAlignment w:val="baseline"/>
    </w:pPr>
    <w:rPr>
      <w:rFonts w:eastAsia="SimSun" w:cs="Mangal"/>
      <w:i/>
      <w:iCs/>
      <w:kern w:val="1"/>
      <w:lang w:eastAsia="hi-IN" w:bidi="hi-IN"/>
    </w:rPr>
  </w:style>
  <w:style w:type="paragraph" w:customStyle="1" w:styleId="Heading">
    <w:name w:val="Heading"/>
    <w:basedOn w:val="WW-Standard"/>
    <w:next w:val="Textbody"/>
    <w:rsid w:val="00440B6C"/>
    <w:pPr>
      <w:keepNext/>
      <w:spacing w:before="240" w:after="120"/>
    </w:pPr>
    <w:rPr>
      <w:rFonts w:ascii="Arial" w:eastAsia="Microsoft YaHei" w:hAnsi="Arial" w:cs="Arial"/>
      <w:sz w:val="28"/>
      <w:szCs w:val="28"/>
    </w:rPr>
  </w:style>
  <w:style w:type="paragraph" w:customStyle="1" w:styleId="Lgende3">
    <w:name w:val="Légende3"/>
    <w:basedOn w:val="WW-Standard"/>
    <w:rsid w:val="00440B6C"/>
    <w:pPr>
      <w:suppressLineNumbers/>
      <w:spacing w:before="120" w:after="120"/>
    </w:pPr>
    <w:rPr>
      <w:i/>
      <w:iCs/>
    </w:rPr>
  </w:style>
  <w:style w:type="paragraph" w:customStyle="1" w:styleId="Titre11">
    <w:name w:val="Titre 11"/>
    <w:basedOn w:val="Heading"/>
    <w:next w:val="Textbody"/>
    <w:rsid w:val="00440B6C"/>
    <w:rPr>
      <w:rFonts w:ascii="Times New Roman" w:eastAsia="SimSun" w:hAnsi="Times New Roman" w:cs="Times New Roman"/>
      <w:b/>
      <w:bCs/>
      <w:sz w:val="48"/>
      <w:szCs w:val="48"/>
    </w:rPr>
  </w:style>
  <w:style w:type="paragraph" w:customStyle="1" w:styleId="Pieddepage1">
    <w:name w:val="Pied de page1"/>
    <w:basedOn w:val="Normal"/>
    <w:rsid w:val="00440B6C"/>
    <w:pPr>
      <w:widowControl w:val="0"/>
      <w:tabs>
        <w:tab w:val="center" w:pos="4536"/>
        <w:tab w:val="right" w:pos="9072"/>
      </w:tabs>
      <w:suppressAutoHyphens/>
      <w:textAlignment w:val="baseline"/>
    </w:pPr>
    <w:rPr>
      <w:rFonts w:eastAsia="SimSun" w:cs="Mangal"/>
      <w:kern w:val="1"/>
      <w:szCs w:val="21"/>
      <w:lang w:eastAsia="hi-IN" w:bidi="hi-IN"/>
    </w:rPr>
  </w:style>
  <w:style w:type="paragraph" w:customStyle="1" w:styleId="TableHeading">
    <w:name w:val="Table Heading"/>
    <w:basedOn w:val="TableContents"/>
    <w:rsid w:val="00440B6C"/>
    <w:pPr>
      <w:autoSpaceDN/>
      <w:jc w:val="center"/>
    </w:pPr>
    <w:rPr>
      <w:b/>
      <w:bCs/>
      <w:kern w:val="1"/>
      <w:lang w:eastAsia="hi-IN"/>
    </w:rPr>
  </w:style>
  <w:style w:type="paragraph" w:customStyle="1" w:styleId="Contenudetableau">
    <w:name w:val="Contenu de tableau"/>
    <w:basedOn w:val="Normal"/>
    <w:rsid w:val="00440B6C"/>
    <w:pPr>
      <w:widowControl w:val="0"/>
      <w:suppressLineNumbers/>
      <w:suppressAutoHyphens/>
      <w:textAlignment w:val="baseline"/>
    </w:pPr>
    <w:rPr>
      <w:rFonts w:eastAsia="SimSun" w:cs="Mangal"/>
      <w:kern w:val="1"/>
      <w:lang w:eastAsia="hi-IN" w:bidi="hi-IN"/>
    </w:rPr>
  </w:style>
  <w:style w:type="paragraph" w:customStyle="1" w:styleId="Titredetableau">
    <w:name w:val="Titre de tableau"/>
    <w:basedOn w:val="Contenudetableau"/>
    <w:rsid w:val="00440B6C"/>
    <w:pPr>
      <w:jc w:val="center"/>
    </w:pPr>
    <w:rPr>
      <w:b/>
      <w:bCs/>
    </w:rPr>
  </w:style>
  <w:style w:type="character" w:customStyle="1" w:styleId="En-tteCar1">
    <w:name w:val="En-tête Car1"/>
    <w:basedOn w:val="Policepardfaut"/>
    <w:uiPriority w:val="99"/>
    <w:rsid w:val="00440B6C"/>
    <w:rPr>
      <w:rFonts w:ascii="Times New Roman" w:eastAsia="SimSun" w:hAnsi="Times New Roman" w:cs="Mangal"/>
      <w:kern w:val="1"/>
      <w:sz w:val="24"/>
      <w:szCs w:val="24"/>
      <w:lang w:eastAsia="hi-IN" w:bidi="hi-IN"/>
    </w:rPr>
  </w:style>
  <w:style w:type="character" w:customStyle="1" w:styleId="CommentaireCar1">
    <w:name w:val="Commentaire Car1"/>
    <w:basedOn w:val="Policepardfaut"/>
    <w:uiPriority w:val="99"/>
    <w:semiHidden/>
    <w:locked/>
    <w:rsid w:val="00080B68"/>
    <w:rPr>
      <w:rFonts w:ascii="Calibri" w:hAnsi="Calibri" w:cs="Times New Roman"/>
      <w:sz w:val="20"/>
      <w:szCs w:val="20"/>
      <w:lang w:eastAsia="en-US"/>
    </w:rPr>
  </w:style>
  <w:style w:type="paragraph" w:styleId="Rvision">
    <w:name w:val="Revision"/>
    <w:hidden/>
    <w:uiPriority w:val="99"/>
    <w:semiHidden/>
    <w:rsid w:val="00080B68"/>
    <w:rPr>
      <w:rFonts w:ascii="Times New Roman" w:hAnsi="Times New Roman"/>
      <w:sz w:val="22"/>
      <w:szCs w:val="22"/>
      <w:lang w:val="en-US" w:eastAsia="en-US" w:bidi="en-US"/>
    </w:rPr>
  </w:style>
  <w:style w:type="paragraph" w:customStyle="1" w:styleId="EndNoteBibliography">
    <w:name w:val="EndNote Bibliography"/>
    <w:basedOn w:val="Normal"/>
    <w:link w:val="EndNoteBibliographyCar"/>
    <w:rsid w:val="00652182"/>
    <w:pPr>
      <w:spacing w:after="200" w:line="240" w:lineRule="auto"/>
    </w:pPr>
    <w:rPr>
      <w:rFonts w:ascii="Calibri" w:eastAsiaTheme="minorHAnsi" w:hAnsi="Calibri" w:cs="Calibri"/>
      <w:noProof/>
      <w:sz w:val="22"/>
      <w:szCs w:val="22"/>
      <w:lang w:eastAsia="en-US"/>
    </w:rPr>
  </w:style>
  <w:style w:type="character" w:customStyle="1" w:styleId="EndNoteBibliographyCar">
    <w:name w:val="EndNote Bibliography Car"/>
    <w:basedOn w:val="Policepardfaut"/>
    <w:link w:val="EndNoteBibliography"/>
    <w:rsid w:val="00652182"/>
    <w:rPr>
      <w:rFonts w:eastAsiaTheme="minorHAnsi" w:cs="Calibri"/>
      <w:noProof/>
      <w:sz w:val="22"/>
      <w:szCs w:val="22"/>
      <w:lang w:eastAsia="en-US"/>
    </w:rPr>
  </w:style>
  <w:style w:type="character" w:customStyle="1" w:styleId="shorttext">
    <w:name w:val="short_text"/>
    <w:rsid w:val="006E490F"/>
  </w:style>
  <w:style w:type="paragraph" w:customStyle="1" w:styleId="StyleTitre3TimesNewRoman">
    <w:name w:val="Style Titre 3 + Times New Roman"/>
    <w:basedOn w:val="Titre3"/>
    <w:autoRedefine/>
    <w:rsid w:val="00BF1226"/>
  </w:style>
  <w:style w:type="paragraph" w:customStyle="1" w:styleId="EndNoteBibliographyTitle">
    <w:name w:val="EndNote Bibliography Title"/>
    <w:basedOn w:val="Normal"/>
    <w:link w:val="EndNoteBibliographyTitleCar"/>
    <w:rsid w:val="006A2172"/>
    <w:pPr>
      <w:jc w:val="center"/>
    </w:pPr>
    <w:rPr>
      <w:rFonts w:ascii="Calibri" w:hAnsi="Calibri" w:cs="Calibri"/>
      <w:noProof/>
      <w:sz w:val="22"/>
      <w:szCs w:val="22"/>
      <w:lang w:eastAsia="en-US" w:bidi="en-US"/>
    </w:rPr>
  </w:style>
  <w:style w:type="character" w:customStyle="1" w:styleId="EndNoteBibliographyTitleCar">
    <w:name w:val="EndNote Bibliography Title Car"/>
    <w:basedOn w:val="Policepardfaut"/>
    <w:link w:val="EndNoteBibliographyTitle"/>
    <w:rsid w:val="006A2172"/>
    <w:rPr>
      <w:rFonts w:cs="Calibri"/>
      <w:noProof/>
      <w:sz w:val="22"/>
      <w:szCs w:val="22"/>
      <w:lang w:eastAsia="en-US" w:bidi="en-US"/>
    </w:rPr>
  </w:style>
  <w:style w:type="paragraph" w:styleId="Tabledesillustrations">
    <w:name w:val="table of figures"/>
    <w:basedOn w:val="Normal"/>
    <w:next w:val="Normal"/>
    <w:uiPriority w:val="99"/>
    <w:unhideWhenUsed/>
    <w:locked/>
    <w:rsid w:val="009B3078"/>
    <w:rPr>
      <w:sz w:val="22"/>
      <w:szCs w:val="22"/>
      <w:lang w:eastAsia="en-US" w:bidi="en-US"/>
    </w:rPr>
  </w:style>
  <w:style w:type="character" w:customStyle="1" w:styleId="z0251">
    <w:name w:val="z0251"/>
    <w:basedOn w:val="Policepardfaut"/>
    <w:rsid w:val="002515E4"/>
    <w:rPr>
      <w:rFonts w:ascii="Arial" w:hAnsi="Arial" w:cs="Arial" w:hint="default"/>
      <w:b/>
      <w:bCs/>
      <w:i w:val="0"/>
      <w:iCs w:val="0"/>
      <w:strike w:val="0"/>
      <w:dstrike w:val="0"/>
      <w:color w:val="000000"/>
      <w:sz w:val="18"/>
      <w:szCs w:val="18"/>
      <w:u w:val="none"/>
      <w:effect w:val="none"/>
    </w:rPr>
  </w:style>
  <w:style w:type="table" w:customStyle="1" w:styleId="Ombrageclair1">
    <w:name w:val="Ombrage clair1"/>
    <w:basedOn w:val="TableauNormal"/>
    <w:uiPriority w:val="60"/>
    <w:rsid w:val="002515E4"/>
    <w:rPr>
      <w:rFonts w:ascii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Explorateurdedocuments">
    <w:name w:val="Document Map"/>
    <w:basedOn w:val="Normal"/>
    <w:link w:val="ExplorateurdedocumentsCar"/>
    <w:uiPriority w:val="99"/>
    <w:semiHidden/>
    <w:unhideWhenUsed/>
    <w:locked/>
    <w:rsid w:val="002515E4"/>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515E4"/>
    <w:rPr>
      <w:rFonts w:ascii="Tahoma" w:hAnsi="Tahoma" w:cs="Tahoma"/>
      <w:sz w:val="16"/>
      <w:szCs w:val="16"/>
    </w:rPr>
  </w:style>
  <w:style w:type="paragraph" w:styleId="Notedefin">
    <w:name w:val="endnote text"/>
    <w:basedOn w:val="Normal"/>
    <w:link w:val="NotedefinCar"/>
    <w:uiPriority w:val="99"/>
    <w:semiHidden/>
    <w:unhideWhenUsed/>
    <w:locked/>
    <w:rsid w:val="002515E4"/>
    <w:rPr>
      <w:sz w:val="20"/>
      <w:szCs w:val="20"/>
    </w:rPr>
  </w:style>
  <w:style w:type="character" w:customStyle="1" w:styleId="NotedefinCar">
    <w:name w:val="Note de fin Car"/>
    <w:basedOn w:val="Policepardfaut"/>
    <w:link w:val="Notedefin"/>
    <w:uiPriority w:val="99"/>
    <w:semiHidden/>
    <w:rsid w:val="002515E4"/>
    <w:rPr>
      <w:rFonts w:ascii="Times New Roman" w:hAnsi="Times New Roman"/>
    </w:rPr>
  </w:style>
  <w:style w:type="character" w:styleId="Appeldenotedefin">
    <w:name w:val="endnote reference"/>
    <w:basedOn w:val="Policepardfaut"/>
    <w:uiPriority w:val="99"/>
    <w:semiHidden/>
    <w:unhideWhenUsed/>
    <w:locked/>
    <w:rsid w:val="002515E4"/>
    <w:rPr>
      <w:vertAlign w:val="superscript"/>
    </w:rPr>
  </w:style>
  <w:style w:type="character" w:customStyle="1" w:styleId="atn">
    <w:name w:val="atn"/>
    <w:basedOn w:val="Policepardfaut"/>
    <w:rsid w:val="002515E4"/>
  </w:style>
  <w:style w:type="character" w:customStyle="1" w:styleId="textecadre1">
    <w:name w:val="textecadre1"/>
    <w:rsid w:val="002515E4"/>
    <w:rPr>
      <w:rFonts w:ascii="Verdana" w:hAnsi="Verdana"/>
      <w:color w:val="FFFFFF"/>
      <w:sz w:val="20"/>
      <w:szCs w:val="20"/>
    </w:rPr>
  </w:style>
  <w:style w:type="paragraph" w:styleId="Listepuces">
    <w:name w:val="List Bullet"/>
    <w:basedOn w:val="Normal"/>
    <w:uiPriority w:val="99"/>
    <w:locked/>
    <w:rsid w:val="002515E4"/>
    <w:pPr>
      <w:spacing w:after="120" w:line="276" w:lineRule="auto"/>
    </w:pPr>
    <w:rPr>
      <w:rFonts w:ascii="Gill Sans MT" w:eastAsia="Gill Sans MT" w:hAnsi="Gill Sans MT" w:cs="Gill Sans MT"/>
      <w:color w:val="000000"/>
      <w:sz w:val="20"/>
      <w:szCs w:val="20"/>
      <w:lang w:eastAsia="en-US"/>
    </w:rPr>
  </w:style>
  <w:style w:type="character" w:styleId="Numrodeligne">
    <w:name w:val="line number"/>
    <w:basedOn w:val="Policepardfaut"/>
    <w:uiPriority w:val="99"/>
    <w:semiHidden/>
    <w:unhideWhenUsed/>
    <w:locked/>
    <w:rsid w:val="002515E4"/>
  </w:style>
  <w:style w:type="character" w:styleId="Lienhypertextesuivivisit">
    <w:name w:val="FollowedHyperlink"/>
    <w:basedOn w:val="Policepardfaut"/>
    <w:uiPriority w:val="99"/>
    <w:semiHidden/>
    <w:unhideWhenUsed/>
    <w:locked/>
    <w:rsid w:val="002515E4"/>
    <w:rPr>
      <w:color w:val="800080" w:themeColor="followedHyperlink"/>
      <w:u w:val="single"/>
    </w:rPr>
  </w:style>
  <w:style w:type="table" w:styleId="Tramemoyenne1-Accent1">
    <w:name w:val="Medium Shading 1 Accent 1"/>
    <w:basedOn w:val="TableauNormal"/>
    <w:uiPriority w:val="63"/>
    <w:rsid w:val="002515E4"/>
    <w:rPr>
      <w:rFonts w:asciiTheme="minorHAnsi" w:hAnsiTheme="minorHAnsi" w:cstheme="minorBidi"/>
      <w:sz w:val="22"/>
      <w:szCs w:val="22"/>
      <w:lang w:eastAsia="en-US"/>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2-Accent1">
    <w:name w:val="Medium Shading 2 Accent 1"/>
    <w:basedOn w:val="TableauNormal"/>
    <w:uiPriority w:val="64"/>
    <w:rsid w:val="002515E4"/>
    <w:rPr>
      <w:rFonts w:ascii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tandardCar">
    <w:name w:val="Standard Car"/>
    <w:basedOn w:val="Policepardfaut"/>
    <w:link w:val="Standard"/>
    <w:rsid w:val="00851EB1"/>
    <w:rPr>
      <w:rFonts w:ascii="Times New Roman" w:eastAsia="SimSun" w:hAnsi="Times New Roman" w:cs="Mangal"/>
      <w:kern w:val="3"/>
      <w:sz w:val="24"/>
      <w:szCs w:val="24"/>
      <w:lang w:eastAsia="zh-CN" w:bidi="hi-IN"/>
    </w:rPr>
  </w:style>
  <w:style w:type="character" w:customStyle="1" w:styleId="xbe">
    <w:name w:val="_xbe"/>
    <w:basedOn w:val="Policepardfaut"/>
    <w:rsid w:val="002515E4"/>
  </w:style>
  <w:style w:type="table" w:styleId="Grillemoyenne3-Accent5">
    <w:name w:val="Medium Grid 3 Accent 5"/>
    <w:basedOn w:val="TableauNormal"/>
    <w:uiPriority w:val="69"/>
    <w:rsid w:val="00F02CA6"/>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highlight">
    <w:name w:val="highlight"/>
    <w:basedOn w:val="Policepardfaut"/>
    <w:rsid w:val="009C55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37853">
      <w:bodyDiv w:val="1"/>
      <w:marLeft w:val="0"/>
      <w:marRight w:val="0"/>
      <w:marTop w:val="0"/>
      <w:marBottom w:val="0"/>
      <w:divBdr>
        <w:top w:val="none" w:sz="0" w:space="0" w:color="auto"/>
        <w:left w:val="none" w:sz="0" w:space="0" w:color="auto"/>
        <w:bottom w:val="none" w:sz="0" w:space="0" w:color="auto"/>
        <w:right w:val="none" w:sz="0" w:space="0" w:color="auto"/>
      </w:divBdr>
    </w:div>
    <w:div w:id="106849636">
      <w:bodyDiv w:val="1"/>
      <w:marLeft w:val="0"/>
      <w:marRight w:val="0"/>
      <w:marTop w:val="0"/>
      <w:marBottom w:val="0"/>
      <w:divBdr>
        <w:top w:val="none" w:sz="0" w:space="0" w:color="auto"/>
        <w:left w:val="none" w:sz="0" w:space="0" w:color="auto"/>
        <w:bottom w:val="none" w:sz="0" w:space="0" w:color="auto"/>
        <w:right w:val="none" w:sz="0" w:space="0" w:color="auto"/>
      </w:divBdr>
    </w:div>
    <w:div w:id="247229311">
      <w:bodyDiv w:val="1"/>
      <w:marLeft w:val="0"/>
      <w:marRight w:val="0"/>
      <w:marTop w:val="0"/>
      <w:marBottom w:val="0"/>
      <w:divBdr>
        <w:top w:val="none" w:sz="0" w:space="0" w:color="auto"/>
        <w:left w:val="none" w:sz="0" w:space="0" w:color="auto"/>
        <w:bottom w:val="none" w:sz="0" w:space="0" w:color="auto"/>
        <w:right w:val="none" w:sz="0" w:space="0" w:color="auto"/>
      </w:divBdr>
    </w:div>
    <w:div w:id="296111736">
      <w:bodyDiv w:val="1"/>
      <w:marLeft w:val="0"/>
      <w:marRight w:val="0"/>
      <w:marTop w:val="0"/>
      <w:marBottom w:val="0"/>
      <w:divBdr>
        <w:top w:val="none" w:sz="0" w:space="0" w:color="auto"/>
        <w:left w:val="none" w:sz="0" w:space="0" w:color="auto"/>
        <w:bottom w:val="none" w:sz="0" w:space="0" w:color="auto"/>
        <w:right w:val="none" w:sz="0" w:space="0" w:color="auto"/>
      </w:divBdr>
    </w:div>
    <w:div w:id="309016645">
      <w:bodyDiv w:val="1"/>
      <w:marLeft w:val="0"/>
      <w:marRight w:val="0"/>
      <w:marTop w:val="0"/>
      <w:marBottom w:val="0"/>
      <w:divBdr>
        <w:top w:val="none" w:sz="0" w:space="0" w:color="auto"/>
        <w:left w:val="none" w:sz="0" w:space="0" w:color="auto"/>
        <w:bottom w:val="none" w:sz="0" w:space="0" w:color="auto"/>
        <w:right w:val="none" w:sz="0" w:space="0" w:color="auto"/>
      </w:divBdr>
      <w:divsChild>
        <w:div w:id="800266989">
          <w:marLeft w:val="547"/>
          <w:marRight w:val="0"/>
          <w:marTop w:val="0"/>
          <w:marBottom w:val="0"/>
          <w:divBdr>
            <w:top w:val="none" w:sz="0" w:space="0" w:color="auto"/>
            <w:left w:val="none" w:sz="0" w:space="0" w:color="auto"/>
            <w:bottom w:val="none" w:sz="0" w:space="0" w:color="auto"/>
            <w:right w:val="none" w:sz="0" w:space="0" w:color="auto"/>
          </w:divBdr>
        </w:div>
      </w:divsChild>
    </w:div>
    <w:div w:id="390084327">
      <w:bodyDiv w:val="1"/>
      <w:marLeft w:val="0"/>
      <w:marRight w:val="0"/>
      <w:marTop w:val="0"/>
      <w:marBottom w:val="0"/>
      <w:divBdr>
        <w:top w:val="none" w:sz="0" w:space="0" w:color="auto"/>
        <w:left w:val="none" w:sz="0" w:space="0" w:color="auto"/>
        <w:bottom w:val="none" w:sz="0" w:space="0" w:color="auto"/>
        <w:right w:val="none" w:sz="0" w:space="0" w:color="auto"/>
      </w:divBdr>
      <w:divsChild>
        <w:div w:id="40641972">
          <w:marLeft w:val="446"/>
          <w:marRight w:val="0"/>
          <w:marTop w:val="0"/>
          <w:marBottom w:val="0"/>
          <w:divBdr>
            <w:top w:val="none" w:sz="0" w:space="0" w:color="auto"/>
            <w:left w:val="none" w:sz="0" w:space="0" w:color="auto"/>
            <w:bottom w:val="none" w:sz="0" w:space="0" w:color="auto"/>
            <w:right w:val="none" w:sz="0" w:space="0" w:color="auto"/>
          </w:divBdr>
        </w:div>
        <w:div w:id="701443821">
          <w:marLeft w:val="446"/>
          <w:marRight w:val="0"/>
          <w:marTop w:val="0"/>
          <w:marBottom w:val="0"/>
          <w:divBdr>
            <w:top w:val="none" w:sz="0" w:space="0" w:color="auto"/>
            <w:left w:val="none" w:sz="0" w:space="0" w:color="auto"/>
            <w:bottom w:val="none" w:sz="0" w:space="0" w:color="auto"/>
            <w:right w:val="none" w:sz="0" w:space="0" w:color="auto"/>
          </w:divBdr>
        </w:div>
        <w:div w:id="1313172064">
          <w:marLeft w:val="446"/>
          <w:marRight w:val="0"/>
          <w:marTop w:val="0"/>
          <w:marBottom w:val="0"/>
          <w:divBdr>
            <w:top w:val="none" w:sz="0" w:space="0" w:color="auto"/>
            <w:left w:val="none" w:sz="0" w:space="0" w:color="auto"/>
            <w:bottom w:val="none" w:sz="0" w:space="0" w:color="auto"/>
            <w:right w:val="none" w:sz="0" w:space="0" w:color="auto"/>
          </w:divBdr>
        </w:div>
      </w:divsChild>
    </w:div>
    <w:div w:id="390858409">
      <w:bodyDiv w:val="1"/>
      <w:marLeft w:val="0"/>
      <w:marRight w:val="0"/>
      <w:marTop w:val="0"/>
      <w:marBottom w:val="0"/>
      <w:divBdr>
        <w:top w:val="none" w:sz="0" w:space="0" w:color="auto"/>
        <w:left w:val="none" w:sz="0" w:space="0" w:color="auto"/>
        <w:bottom w:val="none" w:sz="0" w:space="0" w:color="auto"/>
        <w:right w:val="none" w:sz="0" w:space="0" w:color="auto"/>
      </w:divBdr>
    </w:div>
    <w:div w:id="444426501">
      <w:bodyDiv w:val="1"/>
      <w:marLeft w:val="0"/>
      <w:marRight w:val="0"/>
      <w:marTop w:val="0"/>
      <w:marBottom w:val="0"/>
      <w:divBdr>
        <w:top w:val="none" w:sz="0" w:space="0" w:color="auto"/>
        <w:left w:val="none" w:sz="0" w:space="0" w:color="auto"/>
        <w:bottom w:val="none" w:sz="0" w:space="0" w:color="auto"/>
        <w:right w:val="none" w:sz="0" w:space="0" w:color="auto"/>
      </w:divBdr>
    </w:div>
    <w:div w:id="449205164">
      <w:bodyDiv w:val="1"/>
      <w:marLeft w:val="0"/>
      <w:marRight w:val="0"/>
      <w:marTop w:val="0"/>
      <w:marBottom w:val="0"/>
      <w:divBdr>
        <w:top w:val="none" w:sz="0" w:space="0" w:color="auto"/>
        <w:left w:val="none" w:sz="0" w:space="0" w:color="auto"/>
        <w:bottom w:val="none" w:sz="0" w:space="0" w:color="auto"/>
        <w:right w:val="none" w:sz="0" w:space="0" w:color="auto"/>
      </w:divBdr>
    </w:div>
    <w:div w:id="468667882">
      <w:bodyDiv w:val="1"/>
      <w:marLeft w:val="0"/>
      <w:marRight w:val="0"/>
      <w:marTop w:val="0"/>
      <w:marBottom w:val="0"/>
      <w:divBdr>
        <w:top w:val="none" w:sz="0" w:space="0" w:color="auto"/>
        <w:left w:val="none" w:sz="0" w:space="0" w:color="auto"/>
        <w:bottom w:val="none" w:sz="0" w:space="0" w:color="auto"/>
        <w:right w:val="none" w:sz="0" w:space="0" w:color="auto"/>
      </w:divBdr>
      <w:divsChild>
        <w:div w:id="493840032">
          <w:marLeft w:val="446"/>
          <w:marRight w:val="0"/>
          <w:marTop w:val="0"/>
          <w:marBottom w:val="0"/>
          <w:divBdr>
            <w:top w:val="none" w:sz="0" w:space="0" w:color="auto"/>
            <w:left w:val="none" w:sz="0" w:space="0" w:color="auto"/>
            <w:bottom w:val="none" w:sz="0" w:space="0" w:color="auto"/>
            <w:right w:val="none" w:sz="0" w:space="0" w:color="auto"/>
          </w:divBdr>
        </w:div>
        <w:div w:id="1358000834">
          <w:marLeft w:val="446"/>
          <w:marRight w:val="0"/>
          <w:marTop w:val="0"/>
          <w:marBottom w:val="0"/>
          <w:divBdr>
            <w:top w:val="none" w:sz="0" w:space="0" w:color="auto"/>
            <w:left w:val="none" w:sz="0" w:space="0" w:color="auto"/>
            <w:bottom w:val="none" w:sz="0" w:space="0" w:color="auto"/>
            <w:right w:val="none" w:sz="0" w:space="0" w:color="auto"/>
          </w:divBdr>
        </w:div>
      </w:divsChild>
    </w:div>
    <w:div w:id="628055748">
      <w:bodyDiv w:val="1"/>
      <w:marLeft w:val="0"/>
      <w:marRight w:val="0"/>
      <w:marTop w:val="0"/>
      <w:marBottom w:val="0"/>
      <w:divBdr>
        <w:top w:val="none" w:sz="0" w:space="0" w:color="auto"/>
        <w:left w:val="none" w:sz="0" w:space="0" w:color="auto"/>
        <w:bottom w:val="none" w:sz="0" w:space="0" w:color="auto"/>
        <w:right w:val="none" w:sz="0" w:space="0" w:color="auto"/>
      </w:divBdr>
    </w:div>
    <w:div w:id="630751078">
      <w:bodyDiv w:val="1"/>
      <w:marLeft w:val="0"/>
      <w:marRight w:val="0"/>
      <w:marTop w:val="0"/>
      <w:marBottom w:val="0"/>
      <w:divBdr>
        <w:top w:val="none" w:sz="0" w:space="0" w:color="auto"/>
        <w:left w:val="none" w:sz="0" w:space="0" w:color="auto"/>
        <w:bottom w:val="none" w:sz="0" w:space="0" w:color="auto"/>
        <w:right w:val="none" w:sz="0" w:space="0" w:color="auto"/>
      </w:divBdr>
    </w:div>
    <w:div w:id="637032088">
      <w:bodyDiv w:val="1"/>
      <w:marLeft w:val="0"/>
      <w:marRight w:val="0"/>
      <w:marTop w:val="0"/>
      <w:marBottom w:val="0"/>
      <w:divBdr>
        <w:top w:val="none" w:sz="0" w:space="0" w:color="auto"/>
        <w:left w:val="none" w:sz="0" w:space="0" w:color="auto"/>
        <w:bottom w:val="none" w:sz="0" w:space="0" w:color="auto"/>
        <w:right w:val="none" w:sz="0" w:space="0" w:color="auto"/>
      </w:divBdr>
    </w:div>
    <w:div w:id="700278585">
      <w:bodyDiv w:val="1"/>
      <w:marLeft w:val="0"/>
      <w:marRight w:val="0"/>
      <w:marTop w:val="0"/>
      <w:marBottom w:val="0"/>
      <w:divBdr>
        <w:top w:val="none" w:sz="0" w:space="0" w:color="auto"/>
        <w:left w:val="none" w:sz="0" w:space="0" w:color="auto"/>
        <w:bottom w:val="none" w:sz="0" w:space="0" w:color="auto"/>
        <w:right w:val="none" w:sz="0" w:space="0" w:color="auto"/>
      </w:divBdr>
    </w:div>
    <w:div w:id="710111336">
      <w:bodyDiv w:val="1"/>
      <w:marLeft w:val="0"/>
      <w:marRight w:val="0"/>
      <w:marTop w:val="0"/>
      <w:marBottom w:val="0"/>
      <w:divBdr>
        <w:top w:val="none" w:sz="0" w:space="0" w:color="auto"/>
        <w:left w:val="none" w:sz="0" w:space="0" w:color="auto"/>
        <w:bottom w:val="none" w:sz="0" w:space="0" w:color="auto"/>
        <w:right w:val="none" w:sz="0" w:space="0" w:color="auto"/>
      </w:divBdr>
    </w:div>
    <w:div w:id="723331539">
      <w:bodyDiv w:val="1"/>
      <w:marLeft w:val="0"/>
      <w:marRight w:val="0"/>
      <w:marTop w:val="0"/>
      <w:marBottom w:val="0"/>
      <w:divBdr>
        <w:top w:val="none" w:sz="0" w:space="0" w:color="auto"/>
        <w:left w:val="none" w:sz="0" w:space="0" w:color="auto"/>
        <w:bottom w:val="none" w:sz="0" w:space="0" w:color="auto"/>
        <w:right w:val="none" w:sz="0" w:space="0" w:color="auto"/>
      </w:divBdr>
    </w:div>
    <w:div w:id="735275726">
      <w:bodyDiv w:val="1"/>
      <w:marLeft w:val="0"/>
      <w:marRight w:val="0"/>
      <w:marTop w:val="0"/>
      <w:marBottom w:val="0"/>
      <w:divBdr>
        <w:top w:val="none" w:sz="0" w:space="0" w:color="auto"/>
        <w:left w:val="none" w:sz="0" w:space="0" w:color="auto"/>
        <w:bottom w:val="none" w:sz="0" w:space="0" w:color="auto"/>
        <w:right w:val="none" w:sz="0" w:space="0" w:color="auto"/>
      </w:divBdr>
    </w:div>
    <w:div w:id="767310308">
      <w:bodyDiv w:val="1"/>
      <w:marLeft w:val="0"/>
      <w:marRight w:val="0"/>
      <w:marTop w:val="0"/>
      <w:marBottom w:val="0"/>
      <w:divBdr>
        <w:top w:val="none" w:sz="0" w:space="0" w:color="auto"/>
        <w:left w:val="none" w:sz="0" w:space="0" w:color="auto"/>
        <w:bottom w:val="none" w:sz="0" w:space="0" w:color="auto"/>
        <w:right w:val="none" w:sz="0" w:space="0" w:color="auto"/>
      </w:divBdr>
    </w:div>
    <w:div w:id="809632869">
      <w:bodyDiv w:val="1"/>
      <w:marLeft w:val="0"/>
      <w:marRight w:val="0"/>
      <w:marTop w:val="0"/>
      <w:marBottom w:val="0"/>
      <w:divBdr>
        <w:top w:val="none" w:sz="0" w:space="0" w:color="auto"/>
        <w:left w:val="none" w:sz="0" w:space="0" w:color="auto"/>
        <w:bottom w:val="none" w:sz="0" w:space="0" w:color="auto"/>
        <w:right w:val="none" w:sz="0" w:space="0" w:color="auto"/>
      </w:divBdr>
    </w:div>
    <w:div w:id="883981352">
      <w:bodyDiv w:val="1"/>
      <w:marLeft w:val="0"/>
      <w:marRight w:val="0"/>
      <w:marTop w:val="0"/>
      <w:marBottom w:val="0"/>
      <w:divBdr>
        <w:top w:val="none" w:sz="0" w:space="0" w:color="auto"/>
        <w:left w:val="none" w:sz="0" w:space="0" w:color="auto"/>
        <w:bottom w:val="none" w:sz="0" w:space="0" w:color="auto"/>
        <w:right w:val="none" w:sz="0" w:space="0" w:color="auto"/>
      </w:divBdr>
    </w:div>
    <w:div w:id="908422093">
      <w:bodyDiv w:val="1"/>
      <w:marLeft w:val="0"/>
      <w:marRight w:val="0"/>
      <w:marTop w:val="0"/>
      <w:marBottom w:val="0"/>
      <w:divBdr>
        <w:top w:val="none" w:sz="0" w:space="0" w:color="auto"/>
        <w:left w:val="none" w:sz="0" w:space="0" w:color="auto"/>
        <w:bottom w:val="none" w:sz="0" w:space="0" w:color="auto"/>
        <w:right w:val="none" w:sz="0" w:space="0" w:color="auto"/>
      </w:divBdr>
      <w:divsChild>
        <w:div w:id="1032655862">
          <w:marLeft w:val="1166"/>
          <w:marRight w:val="0"/>
          <w:marTop w:val="0"/>
          <w:marBottom w:val="0"/>
          <w:divBdr>
            <w:top w:val="none" w:sz="0" w:space="0" w:color="auto"/>
            <w:left w:val="none" w:sz="0" w:space="0" w:color="auto"/>
            <w:bottom w:val="none" w:sz="0" w:space="0" w:color="auto"/>
            <w:right w:val="none" w:sz="0" w:space="0" w:color="auto"/>
          </w:divBdr>
        </w:div>
        <w:div w:id="1404983740">
          <w:marLeft w:val="1166"/>
          <w:marRight w:val="0"/>
          <w:marTop w:val="0"/>
          <w:marBottom w:val="0"/>
          <w:divBdr>
            <w:top w:val="none" w:sz="0" w:space="0" w:color="auto"/>
            <w:left w:val="none" w:sz="0" w:space="0" w:color="auto"/>
            <w:bottom w:val="none" w:sz="0" w:space="0" w:color="auto"/>
            <w:right w:val="none" w:sz="0" w:space="0" w:color="auto"/>
          </w:divBdr>
        </w:div>
        <w:div w:id="1412385869">
          <w:marLeft w:val="446"/>
          <w:marRight w:val="0"/>
          <w:marTop w:val="0"/>
          <w:marBottom w:val="0"/>
          <w:divBdr>
            <w:top w:val="none" w:sz="0" w:space="0" w:color="auto"/>
            <w:left w:val="none" w:sz="0" w:space="0" w:color="auto"/>
            <w:bottom w:val="none" w:sz="0" w:space="0" w:color="auto"/>
            <w:right w:val="none" w:sz="0" w:space="0" w:color="auto"/>
          </w:divBdr>
        </w:div>
        <w:div w:id="1707291406">
          <w:marLeft w:val="446"/>
          <w:marRight w:val="0"/>
          <w:marTop w:val="0"/>
          <w:marBottom w:val="0"/>
          <w:divBdr>
            <w:top w:val="none" w:sz="0" w:space="0" w:color="auto"/>
            <w:left w:val="none" w:sz="0" w:space="0" w:color="auto"/>
            <w:bottom w:val="none" w:sz="0" w:space="0" w:color="auto"/>
            <w:right w:val="none" w:sz="0" w:space="0" w:color="auto"/>
          </w:divBdr>
        </w:div>
        <w:div w:id="1844853280">
          <w:marLeft w:val="446"/>
          <w:marRight w:val="0"/>
          <w:marTop w:val="0"/>
          <w:marBottom w:val="0"/>
          <w:divBdr>
            <w:top w:val="none" w:sz="0" w:space="0" w:color="auto"/>
            <w:left w:val="none" w:sz="0" w:space="0" w:color="auto"/>
            <w:bottom w:val="none" w:sz="0" w:space="0" w:color="auto"/>
            <w:right w:val="none" w:sz="0" w:space="0" w:color="auto"/>
          </w:divBdr>
        </w:div>
      </w:divsChild>
    </w:div>
    <w:div w:id="930621634">
      <w:bodyDiv w:val="1"/>
      <w:marLeft w:val="0"/>
      <w:marRight w:val="0"/>
      <w:marTop w:val="0"/>
      <w:marBottom w:val="0"/>
      <w:divBdr>
        <w:top w:val="none" w:sz="0" w:space="0" w:color="auto"/>
        <w:left w:val="none" w:sz="0" w:space="0" w:color="auto"/>
        <w:bottom w:val="none" w:sz="0" w:space="0" w:color="auto"/>
        <w:right w:val="none" w:sz="0" w:space="0" w:color="auto"/>
      </w:divBdr>
    </w:div>
    <w:div w:id="991568210">
      <w:bodyDiv w:val="1"/>
      <w:marLeft w:val="0"/>
      <w:marRight w:val="0"/>
      <w:marTop w:val="0"/>
      <w:marBottom w:val="0"/>
      <w:divBdr>
        <w:top w:val="none" w:sz="0" w:space="0" w:color="auto"/>
        <w:left w:val="none" w:sz="0" w:space="0" w:color="auto"/>
        <w:bottom w:val="none" w:sz="0" w:space="0" w:color="auto"/>
        <w:right w:val="none" w:sz="0" w:space="0" w:color="auto"/>
      </w:divBdr>
    </w:div>
    <w:div w:id="1084644715">
      <w:bodyDiv w:val="1"/>
      <w:marLeft w:val="0"/>
      <w:marRight w:val="0"/>
      <w:marTop w:val="0"/>
      <w:marBottom w:val="0"/>
      <w:divBdr>
        <w:top w:val="none" w:sz="0" w:space="0" w:color="auto"/>
        <w:left w:val="none" w:sz="0" w:space="0" w:color="auto"/>
        <w:bottom w:val="none" w:sz="0" w:space="0" w:color="auto"/>
        <w:right w:val="none" w:sz="0" w:space="0" w:color="auto"/>
      </w:divBdr>
    </w:div>
    <w:div w:id="1123116686">
      <w:bodyDiv w:val="1"/>
      <w:marLeft w:val="0"/>
      <w:marRight w:val="0"/>
      <w:marTop w:val="0"/>
      <w:marBottom w:val="0"/>
      <w:divBdr>
        <w:top w:val="none" w:sz="0" w:space="0" w:color="auto"/>
        <w:left w:val="none" w:sz="0" w:space="0" w:color="auto"/>
        <w:bottom w:val="none" w:sz="0" w:space="0" w:color="auto"/>
        <w:right w:val="none" w:sz="0" w:space="0" w:color="auto"/>
      </w:divBdr>
    </w:div>
    <w:div w:id="1279483523">
      <w:bodyDiv w:val="1"/>
      <w:marLeft w:val="0"/>
      <w:marRight w:val="0"/>
      <w:marTop w:val="0"/>
      <w:marBottom w:val="0"/>
      <w:divBdr>
        <w:top w:val="none" w:sz="0" w:space="0" w:color="auto"/>
        <w:left w:val="none" w:sz="0" w:space="0" w:color="auto"/>
        <w:bottom w:val="none" w:sz="0" w:space="0" w:color="auto"/>
        <w:right w:val="none" w:sz="0" w:space="0" w:color="auto"/>
      </w:divBdr>
    </w:div>
    <w:div w:id="1309478102">
      <w:bodyDiv w:val="1"/>
      <w:marLeft w:val="0"/>
      <w:marRight w:val="0"/>
      <w:marTop w:val="0"/>
      <w:marBottom w:val="0"/>
      <w:divBdr>
        <w:top w:val="none" w:sz="0" w:space="0" w:color="auto"/>
        <w:left w:val="none" w:sz="0" w:space="0" w:color="auto"/>
        <w:bottom w:val="none" w:sz="0" w:space="0" w:color="auto"/>
        <w:right w:val="none" w:sz="0" w:space="0" w:color="auto"/>
      </w:divBdr>
    </w:div>
    <w:div w:id="1309555872">
      <w:bodyDiv w:val="1"/>
      <w:marLeft w:val="0"/>
      <w:marRight w:val="0"/>
      <w:marTop w:val="0"/>
      <w:marBottom w:val="0"/>
      <w:divBdr>
        <w:top w:val="none" w:sz="0" w:space="0" w:color="auto"/>
        <w:left w:val="none" w:sz="0" w:space="0" w:color="auto"/>
        <w:bottom w:val="none" w:sz="0" w:space="0" w:color="auto"/>
        <w:right w:val="none" w:sz="0" w:space="0" w:color="auto"/>
      </w:divBdr>
    </w:div>
    <w:div w:id="1366177141">
      <w:bodyDiv w:val="1"/>
      <w:marLeft w:val="0"/>
      <w:marRight w:val="0"/>
      <w:marTop w:val="0"/>
      <w:marBottom w:val="0"/>
      <w:divBdr>
        <w:top w:val="none" w:sz="0" w:space="0" w:color="auto"/>
        <w:left w:val="none" w:sz="0" w:space="0" w:color="auto"/>
        <w:bottom w:val="none" w:sz="0" w:space="0" w:color="auto"/>
        <w:right w:val="none" w:sz="0" w:space="0" w:color="auto"/>
      </w:divBdr>
    </w:div>
    <w:div w:id="1379696184">
      <w:bodyDiv w:val="1"/>
      <w:marLeft w:val="0"/>
      <w:marRight w:val="0"/>
      <w:marTop w:val="0"/>
      <w:marBottom w:val="0"/>
      <w:divBdr>
        <w:top w:val="none" w:sz="0" w:space="0" w:color="auto"/>
        <w:left w:val="none" w:sz="0" w:space="0" w:color="auto"/>
        <w:bottom w:val="none" w:sz="0" w:space="0" w:color="auto"/>
        <w:right w:val="none" w:sz="0" w:space="0" w:color="auto"/>
      </w:divBdr>
    </w:div>
    <w:div w:id="1393504102">
      <w:bodyDiv w:val="1"/>
      <w:marLeft w:val="0"/>
      <w:marRight w:val="0"/>
      <w:marTop w:val="0"/>
      <w:marBottom w:val="0"/>
      <w:divBdr>
        <w:top w:val="none" w:sz="0" w:space="0" w:color="auto"/>
        <w:left w:val="none" w:sz="0" w:space="0" w:color="auto"/>
        <w:bottom w:val="none" w:sz="0" w:space="0" w:color="auto"/>
        <w:right w:val="none" w:sz="0" w:space="0" w:color="auto"/>
      </w:divBdr>
    </w:div>
    <w:div w:id="1394499854">
      <w:bodyDiv w:val="1"/>
      <w:marLeft w:val="0"/>
      <w:marRight w:val="0"/>
      <w:marTop w:val="0"/>
      <w:marBottom w:val="0"/>
      <w:divBdr>
        <w:top w:val="none" w:sz="0" w:space="0" w:color="auto"/>
        <w:left w:val="none" w:sz="0" w:space="0" w:color="auto"/>
        <w:bottom w:val="none" w:sz="0" w:space="0" w:color="auto"/>
        <w:right w:val="none" w:sz="0" w:space="0" w:color="auto"/>
      </w:divBdr>
      <w:divsChild>
        <w:div w:id="408043732">
          <w:marLeft w:val="2160"/>
          <w:marRight w:val="0"/>
          <w:marTop w:val="0"/>
          <w:marBottom w:val="0"/>
          <w:divBdr>
            <w:top w:val="none" w:sz="0" w:space="0" w:color="auto"/>
            <w:left w:val="none" w:sz="0" w:space="0" w:color="auto"/>
            <w:bottom w:val="none" w:sz="0" w:space="0" w:color="auto"/>
            <w:right w:val="none" w:sz="0" w:space="0" w:color="auto"/>
          </w:divBdr>
        </w:div>
        <w:div w:id="526141118">
          <w:marLeft w:val="2160"/>
          <w:marRight w:val="0"/>
          <w:marTop w:val="0"/>
          <w:marBottom w:val="0"/>
          <w:divBdr>
            <w:top w:val="none" w:sz="0" w:space="0" w:color="auto"/>
            <w:left w:val="none" w:sz="0" w:space="0" w:color="auto"/>
            <w:bottom w:val="none" w:sz="0" w:space="0" w:color="auto"/>
            <w:right w:val="none" w:sz="0" w:space="0" w:color="auto"/>
          </w:divBdr>
        </w:div>
        <w:div w:id="777530066">
          <w:marLeft w:val="1440"/>
          <w:marRight w:val="0"/>
          <w:marTop w:val="0"/>
          <w:marBottom w:val="0"/>
          <w:divBdr>
            <w:top w:val="none" w:sz="0" w:space="0" w:color="auto"/>
            <w:left w:val="none" w:sz="0" w:space="0" w:color="auto"/>
            <w:bottom w:val="none" w:sz="0" w:space="0" w:color="auto"/>
            <w:right w:val="none" w:sz="0" w:space="0" w:color="auto"/>
          </w:divBdr>
        </w:div>
        <w:div w:id="1218710089">
          <w:marLeft w:val="1440"/>
          <w:marRight w:val="0"/>
          <w:marTop w:val="0"/>
          <w:marBottom w:val="0"/>
          <w:divBdr>
            <w:top w:val="none" w:sz="0" w:space="0" w:color="auto"/>
            <w:left w:val="none" w:sz="0" w:space="0" w:color="auto"/>
            <w:bottom w:val="none" w:sz="0" w:space="0" w:color="auto"/>
            <w:right w:val="none" w:sz="0" w:space="0" w:color="auto"/>
          </w:divBdr>
        </w:div>
        <w:div w:id="1291858755">
          <w:marLeft w:val="2160"/>
          <w:marRight w:val="0"/>
          <w:marTop w:val="0"/>
          <w:marBottom w:val="0"/>
          <w:divBdr>
            <w:top w:val="none" w:sz="0" w:space="0" w:color="auto"/>
            <w:left w:val="none" w:sz="0" w:space="0" w:color="auto"/>
            <w:bottom w:val="none" w:sz="0" w:space="0" w:color="auto"/>
            <w:right w:val="none" w:sz="0" w:space="0" w:color="auto"/>
          </w:divBdr>
        </w:div>
        <w:div w:id="1942181359">
          <w:marLeft w:val="2160"/>
          <w:marRight w:val="0"/>
          <w:marTop w:val="0"/>
          <w:marBottom w:val="0"/>
          <w:divBdr>
            <w:top w:val="none" w:sz="0" w:space="0" w:color="auto"/>
            <w:left w:val="none" w:sz="0" w:space="0" w:color="auto"/>
            <w:bottom w:val="none" w:sz="0" w:space="0" w:color="auto"/>
            <w:right w:val="none" w:sz="0" w:space="0" w:color="auto"/>
          </w:divBdr>
        </w:div>
      </w:divsChild>
    </w:div>
    <w:div w:id="1494108410">
      <w:bodyDiv w:val="1"/>
      <w:marLeft w:val="0"/>
      <w:marRight w:val="0"/>
      <w:marTop w:val="0"/>
      <w:marBottom w:val="0"/>
      <w:divBdr>
        <w:top w:val="none" w:sz="0" w:space="0" w:color="auto"/>
        <w:left w:val="none" w:sz="0" w:space="0" w:color="auto"/>
        <w:bottom w:val="none" w:sz="0" w:space="0" w:color="auto"/>
        <w:right w:val="none" w:sz="0" w:space="0" w:color="auto"/>
      </w:divBdr>
    </w:div>
    <w:div w:id="1530297521">
      <w:bodyDiv w:val="1"/>
      <w:marLeft w:val="0"/>
      <w:marRight w:val="0"/>
      <w:marTop w:val="0"/>
      <w:marBottom w:val="0"/>
      <w:divBdr>
        <w:top w:val="none" w:sz="0" w:space="0" w:color="auto"/>
        <w:left w:val="none" w:sz="0" w:space="0" w:color="auto"/>
        <w:bottom w:val="none" w:sz="0" w:space="0" w:color="auto"/>
        <w:right w:val="none" w:sz="0" w:space="0" w:color="auto"/>
      </w:divBdr>
    </w:div>
    <w:div w:id="1679886995">
      <w:bodyDiv w:val="1"/>
      <w:marLeft w:val="0"/>
      <w:marRight w:val="0"/>
      <w:marTop w:val="0"/>
      <w:marBottom w:val="0"/>
      <w:divBdr>
        <w:top w:val="none" w:sz="0" w:space="0" w:color="auto"/>
        <w:left w:val="none" w:sz="0" w:space="0" w:color="auto"/>
        <w:bottom w:val="none" w:sz="0" w:space="0" w:color="auto"/>
        <w:right w:val="none" w:sz="0" w:space="0" w:color="auto"/>
      </w:divBdr>
    </w:div>
    <w:div w:id="1702632248">
      <w:bodyDiv w:val="1"/>
      <w:marLeft w:val="0"/>
      <w:marRight w:val="0"/>
      <w:marTop w:val="0"/>
      <w:marBottom w:val="0"/>
      <w:divBdr>
        <w:top w:val="none" w:sz="0" w:space="0" w:color="auto"/>
        <w:left w:val="none" w:sz="0" w:space="0" w:color="auto"/>
        <w:bottom w:val="none" w:sz="0" w:space="0" w:color="auto"/>
        <w:right w:val="none" w:sz="0" w:space="0" w:color="auto"/>
      </w:divBdr>
    </w:div>
    <w:div w:id="1732659271">
      <w:bodyDiv w:val="1"/>
      <w:marLeft w:val="0"/>
      <w:marRight w:val="0"/>
      <w:marTop w:val="0"/>
      <w:marBottom w:val="0"/>
      <w:divBdr>
        <w:top w:val="none" w:sz="0" w:space="0" w:color="auto"/>
        <w:left w:val="none" w:sz="0" w:space="0" w:color="auto"/>
        <w:bottom w:val="none" w:sz="0" w:space="0" w:color="auto"/>
        <w:right w:val="none" w:sz="0" w:space="0" w:color="auto"/>
      </w:divBdr>
    </w:div>
    <w:div w:id="1756785661">
      <w:marLeft w:val="0"/>
      <w:marRight w:val="0"/>
      <w:marTop w:val="0"/>
      <w:marBottom w:val="0"/>
      <w:divBdr>
        <w:top w:val="none" w:sz="0" w:space="0" w:color="auto"/>
        <w:left w:val="none" w:sz="0" w:space="0" w:color="auto"/>
        <w:bottom w:val="none" w:sz="0" w:space="0" w:color="auto"/>
        <w:right w:val="none" w:sz="0" w:space="0" w:color="auto"/>
      </w:divBdr>
      <w:divsChild>
        <w:div w:id="1756785667">
          <w:marLeft w:val="0"/>
          <w:marRight w:val="0"/>
          <w:marTop w:val="0"/>
          <w:marBottom w:val="0"/>
          <w:divBdr>
            <w:top w:val="none" w:sz="0" w:space="0" w:color="auto"/>
            <w:left w:val="none" w:sz="0" w:space="0" w:color="auto"/>
            <w:bottom w:val="none" w:sz="0" w:space="0" w:color="auto"/>
            <w:right w:val="none" w:sz="0" w:space="0" w:color="auto"/>
          </w:divBdr>
        </w:div>
        <w:div w:id="1756785672">
          <w:marLeft w:val="0"/>
          <w:marRight w:val="0"/>
          <w:marTop w:val="0"/>
          <w:marBottom w:val="0"/>
          <w:divBdr>
            <w:top w:val="none" w:sz="0" w:space="0" w:color="auto"/>
            <w:left w:val="none" w:sz="0" w:space="0" w:color="auto"/>
            <w:bottom w:val="none" w:sz="0" w:space="0" w:color="auto"/>
            <w:right w:val="none" w:sz="0" w:space="0" w:color="auto"/>
          </w:divBdr>
        </w:div>
        <w:div w:id="1756785676">
          <w:marLeft w:val="0"/>
          <w:marRight w:val="0"/>
          <w:marTop w:val="0"/>
          <w:marBottom w:val="0"/>
          <w:divBdr>
            <w:top w:val="none" w:sz="0" w:space="0" w:color="auto"/>
            <w:left w:val="none" w:sz="0" w:space="0" w:color="auto"/>
            <w:bottom w:val="none" w:sz="0" w:space="0" w:color="auto"/>
            <w:right w:val="none" w:sz="0" w:space="0" w:color="auto"/>
          </w:divBdr>
        </w:div>
        <w:div w:id="1756785689">
          <w:marLeft w:val="0"/>
          <w:marRight w:val="0"/>
          <w:marTop w:val="0"/>
          <w:marBottom w:val="0"/>
          <w:divBdr>
            <w:top w:val="none" w:sz="0" w:space="0" w:color="auto"/>
            <w:left w:val="none" w:sz="0" w:space="0" w:color="auto"/>
            <w:bottom w:val="none" w:sz="0" w:space="0" w:color="auto"/>
            <w:right w:val="none" w:sz="0" w:space="0" w:color="auto"/>
          </w:divBdr>
        </w:div>
        <w:div w:id="1756785692">
          <w:marLeft w:val="0"/>
          <w:marRight w:val="0"/>
          <w:marTop w:val="0"/>
          <w:marBottom w:val="0"/>
          <w:divBdr>
            <w:top w:val="none" w:sz="0" w:space="0" w:color="auto"/>
            <w:left w:val="none" w:sz="0" w:space="0" w:color="auto"/>
            <w:bottom w:val="none" w:sz="0" w:space="0" w:color="auto"/>
            <w:right w:val="none" w:sz="0" w:space="0" w:color="auto"/>
          </w:divBdr>
        </w:div>
        <w:div w:id="1756785696">
          <w:marLeft w:val="0"/>
          <w:marRight w:val="0"/>
          <w:marTop w:val="0"/>
          <w:marBottom w:val="0"/>
          <w:divBdr>
            <w:top w:val="none" w:sz="0" w:space="0" w:color="auto"/>
            <w:left w:val="none" w:sz="0" w:space="0" w:color="auto"/>
            <w:bottom w:val="none" w:sz="0" w:space="0" w:color="auto"/>
            <w:right w:val="none" w:sz="0" w:space="0" w:color="auto"/>
          </w:divBdr>
        </w:div>
        <w:div w:id="1756785712">
          <w:marLeft w:val="0"/>
          <w:marRight w:val="0"/>
          <w:marTop w:val="0"/>
          <w:marBottom w:val="0"/>
          <w:divBdr>
            <w:top w:val="none" w:sz="0" w:space="0" w:color="auto"/>
            <w:left w:val="none" w:sz="0" w:space="0" w:color="auto"/>
            <w:bottom w:val="none" w:sz="0" w:space="0" w:color="auto"/>
            <w:right w:val="none" w:sz="0" w:space="0" w:color="auto"/>
          </w:divBdr>
        </w:div>
        <w:div w:id="1756785720">
          <w:marLeft w:val="0"/>
          <w:marRight w:val="0"/>
          <w:marTop w:val="0"/>
          <w:marBottom w:val="0"/>
          <w:divBdr>
            <w:top w:val="none" w:sz="0" w:space="0" w:color="auto"/>
            <w:left w:val="none" w:sz="0" w:space="0" w:color="auto"/>
            <w:bottom w:val="none" w:sz="0" w:space="0" w:color="auto"/>
            <w:right w:val="none" w:sz="0" w:space="0" w:color="auto"/>
          </w:divBdr>
        </w:div>
        <w:div w:id="1756785724">
          <w:marLeft w:val="0"/>
          <w:marRight w:val="0"/>
          <w:marTop w:val="0"/>
          <w:marBottom w:val="0"/>
          <w:divBdr>
            <w:top w:val="none" w:sz="0" w:space="0" w:color="auto"/>
            <w:left w:val="none" w:sz="0" w:space="0" w:color="auto"/>
            <w:bottom w:val="none" w:sz="0" w:space="0" w:color="auto"/>
            <w:right w:val="none" w:sz="0" w:space="0" w:color="auto"/>
          </w:divBdr>
        </w:div>
        <w:div w:id="1756785757">
          <w:marLeft w:val="0"/>
          <w:marRight w:val="0"/>
          <w:marTop w:val="0"/>
          <w:marBottom w:val="0"/>
          <w:divBdr>
            <w:top w:val="none" w:sz="0" w:space="0" w:color="auto"/>
            <w:left w:val="none" w:sz="0" w:space="0" w:color="auto"/>
            <w:bottom w:val="none" w:sz="0" w:space="0" w:color="auto"/>
            <w:right w:val="none" w:sz="0" w:space="0" w:color="auto"/>
          </w:divBdr>
        </w:div>
        <w:div w:id="1756785759">
          <w:marLeft w:val="0"/>
          <w:marRight w:val="0"/>
          <w:marTop w:val="0"/>
          <w:marBottom w:val="0"/>
          <w:divBdr>
            <w:top w:val="none" w:sz="0" w:space="0" w:color="auto"/>
            <w:left w:val="none" w:sz="0" w:space="0" w:color="auto"/>
            <w:bottom w:val="none" w:sz="0" w:space="0" w:color="auto"/>
            <w:right w:val="none" w:sz="0" w:space="0" w:color="auto"/>
          </w:divBdr>
        </w:div>
        <w:div w:id="1756785760">
          <w:marLeft w:val="0"/>
          <w:marRight w:val="0"/>
          <w:marTop w:val="0"/>
          <w:marBottom w:val="0"/>
          <w:divBdr>
            <w:top w:val="none" w:sz="0" w:space="0" w:color="auto"/>
            <w:left w:val="none" w:sz="0" w:space="0" w:color="auto"/>
            <w:bottom w:val="none" w:sz="0" w:space="0" w:color="auto"/>
            <w:right w:val="none" w:sz="0" w:space="0" w:color="auto"/>
          </w:divBdr>
        </w:div>
        <w:div w:id="1756785780">
          <w:marLeft w:val="0"/>
          <w:marRight w:val="0"/>
          <w:marTop w:val="0"/>
          <w:marBottom w:val="0"/>
          <w:divBdr>
            <w:top w:val="none" w:sz="0" w:space="0" w:color="auto"/>
            <w:left w:val="none" w:sz="0" w:space="0" w:color="auto"/>
            <w:bottom w:val="none" w:sz="0" w:space="0" w:color="auto"/>
            <w:right w:val="none" w:sz="0" w:space="0" w:color="auto"/>
          </w:divBdr>
        </w:div>
        <w:div w:id="1756785804">
          <w:marLeft w:val="0"/>
          <w:marRight w:val="0"/>
          <w:marTop w:val="0"/>
          <w:marBottom w:val="0"/>
          <w:divBdr>
            <w:top w:val="none" w:sz="0" w:space="0" w:color="auto"/>
            <w:left w:val="none" w:sz="0" w:space="0" w:color="auto"/>
            <w:bottom w:val="none" w:sz="0" w:space="0" w:color="auto"/>
            <w:right w:val="none" w:sz="0" w:space="0" w:color="auto"/>
          </w:divBdr>
        </w:div>
        <w:div w:id="1756785816">
          <w:marLeft w:val="0"/>
          <w:marRight w:val="0"/>
          <w:marTop w:val="0"/>
          <w:marBottom w:val="0"/>
          <w:divBdr>
            <w:top w:val="none" w:sz="0" w:space="0" w:color="auto"/>
            <w:left w:val="none" w:sz="0" w:space="0" w:color="auto"/>
            <w:bottom w:val="none" w:sz="0" w:space="0" w:color="auto"/>
            <w:right w:val="none" w:sz="0" w:space="0" w:color="auto"/>
          </w:divBdr>
        </w:div>
        <w:div w:id="1756785824">
          <w:marLeft w:val="0"/>
          <w:marRight w:val="0"/>
          <w:marTop w:val="0"/>
          <w:marBottom w:val="0"/>
          <w:divBdr>
            <w:top w:val="none" w:sz="0" w:space="0" w:color="auto"/>
            <w:left w:val="none" w:sz="0" w:space="0" w:color="auto"/>
            <w:bottom w:val="none" w:sz="0" w:space="0" w:color="auto"/>
            <w:right w:val="none" w:sz="0" w:space="0" w:color="auto"/>
          </w:divBdr>
        </w:div>
        <w:div w:id="1756785828">
          <w:marLeft w:val="0"/>
          <w:marRight w:val="0"/>
          <w:marTop w:val="0"/>
          <w:marBottom w:val="0"/>
          <w:divBdr>
            <w:top w:val="none" w:sz="0" w:space="0" w:color="auto"/>
            <w:left w:val="none" w:sz="0" w:space="0" w:color="auto"/>
            <w:bottom w:val="none" w:sz="0" w:space="0" w:color="auto"/>
            <w:right w:val="none" w:sz="0" w:space="0" w:color="auto"/>
          </w:divBdr>
        </w:div>
        <w:div w:id="1756785833">
          <w:marLeft w:val="0"/>
          <w:marRight w:val="0"/>
          <w:marTop w:val="0"/>
          <w:marBottom w:val="0"/>
          <w:divBdr>
            <w:top w:val="none" w:sz="0" w:space="0" w:color="auto"/>
            <w:left w:val="none" w:sz="0" w:space="0" w:color="auto"/>
            <w:bottom w:val="none" w:sz="0" w:space="0" w:color="auto"/>
            <w:right w:val="none" w:sz="0" w:space="0" w:color="auto"/>
          </w:divBdr>
        </w:div>
        <w:div w:id="1756785836">
          <w:marLeft w:val="0"/>
          <w:marRight w:val="0"/>
          <w:marTop w:val="0"/>
          <w:marBottom w:val="0"/>
          <w:divBdr>
            <w:top w:val="none" w:sz="0" w:space="0" w:color="auto"/>
            <w:left w:val="none" w:sz="0" w:space="0" w:color="auto"/>
            <w:bottom w:val="none" w:sz="0" w:space="0" w:color="auto"/>
            <w:right w:val="none" w:sz="0" w:space="0" w:color="auto"/>
          </w:divBdr>
        </w:div>
        <w:div w:id="1756785841">
          <w:marLeft w:val="0"/>
          <w:marRight w:val="0"/>
          <w:marTop w:val="0"/>
          <w:marBottom w:val="0"/>
          <w:divBdr>
            <w:top w:val="none" w:sz="0" w:space="0" w:color="auto"/>
            <w:left w:val="none" w:sz="0" w:space="0" w:color="auto"/>
            <w:bottom w:val="none" w:sz="0" w:space="0" w:color="auto"/>
            <w:right w:val="none" w:sz="0" w:space="0" w:color="auto"/>
          </w:divBdr>
        </w:div>
        <w:div w:id="1756785856">
          <w:marLeft w:val="0"/>
          <w:marRight w:val="0"/>
          <w:marTop w:val="0"/>
          <w:marBottom w:val="0"/>
          <w:divBdr>
            <w:top w:val="none" w:sz="0" w:space="0" w:color="auto"/>
            <w:left w:val="none" w:sz="0" w:space="0" w:color="auto"/>
            <w:bottom w:val="none" w:sz="0" w:space="0" w:color="auto"/>
            <w:right w:val="none" w:sz="0" w:space="0" w:color="auto"/>
          </w:divBdr>
        </w:div>
        <w:div w:id="1756785874">
          <w:marLeft w:val="0"/>
          <w:marRight w:val="0"/>
          <w:marTop w:val="0"/>
          <w:marBottom w:val="0"/>
          <w:divBdr>
            <w:top w:val="none" w:sz="0" w:space="0" w:color="auto"/>
            <w:left w:val="none" w:sz="0" w:space="0" w:color="auto"/>
            <w:bottom w:val="none" w:sz="0" w:space="0" w:color="auto"/>
            <w:right w:val="none" w:sz="0" w:space="0" w:color="auto"/>
          </w:divBdr>
        </w:div>
        <w:div w:id="1756785876">
          <w:marLeft w:val="0"/>
          <w:marRight w:val="0"/>
          <w:marTop w:val="0"/>
          <w:marBottom w:val="0"/>
          <w:divBdr>
            <w:top w:val="none" w:sz="0" w:space="0" w:color="auto"/>
            <w:left w:val="none" w:sz="0" w:space="0" w:color="auto"/>
            <w:bottom w:val="none" w:sz="0" w:space="0" w:color="auto"/>
            <w:right w:val="none" w:sz="0" w:space="0" w:color="auto"/>
          </w:divBdr>
        </w:div>
        <w:div w:id="1756785879">
          <w:marLeft w:val="0"/>
          <w:marRight w:val="0"/>
          <w:marTop w:val="0"/>
          <w:marBottom w:val="0"/>
          <w:divBdr>
            <w:top w:val="none" w:sz="0" w:space="0" w:color="auto"/>
            <w:left w:val="none" w:sz="0" w:space="0" w:color="auto"/>
            <w:bottom w:val="none" w:sz="0" w:space="0" w:color="auto"/>
            <w:right w:val="none" w:sz="0" w:space="0" w:color="auto"/>
          </w:divBdr>
        </w:div>
        <w:div w:id="1756785893">
          <w:marLeft w:val="0"/>
          <w:marRight w:val="0"/>
          <w:marTop w:val="0"/>
          <w:marBottom w:val="0"/>
          <w:divBdr>
            <w:top w:val="none" w:sz="0" w:space="0" w:color="auto"/>
            <w:left w:val="none" w:sz="0" w:space="0" w:color="auto"/>
            <w:bottom w:val="none" w:sz="0" w:space="0" w:color="auto"/>
            <w:right w:val="none" w:sz="0" w:space="0" w:color="auto"/>
          </w:divBdr>
        </w:div>
        <w:div w:id="1756785896">
          <w:marLeft w:val="0"/>
          <w:marRight w:val="0"/>
          <w:marTop w:val="0"/>
          <w:marBottom w:val="0"/>
          <w:divBdr>
            <w:top w:val="none" w:sz="0" w:space="0" w:color="auto"/>
            <w:left w:val="none" w:sz="0" w:space="0" w:color="auto"/>
            <w:bottom w:val="none" w:sz="0" w:space="0" w:color="auto"/>
            <w:right w:val="none" w:sz="0" w:space="0" w:color="auto"/>
          </w:divBdr>
        </w:div>
        <w:div w:id="1756785907">
          <w:marLeft w:val="0"/>
          <w:marRight w:val="0"/>
          <w:marTop w:val="0"/>
          <w:marBottom w:val="0"/>
          <w:divBdr>
            <w:top w:val="none" w:sz="0" w:space="0" w:color="auto"/>
            <w:left w:val="none" w:sz="0" w:space="0" w:color="auto"/>
            <w:bottom w:val="none" w:sz="0" w:space="0" w:color="auto"/>
            <w:right w:val="none" w:sz="0" w:space="0" w:color="auto"/>
          </w:divBdr>
        </w:div>
        <w:div w:id="1756785908">
          <w:marLeft w:val="0"/>
          <w:marRight w:val="0"/>
          <w:marTop w:val="0"/>
          <w:marBottom w:val="0"/>
          <w:divBdr>
            <w:top w:val="none" w:sz="0" w:space="0" w:color="auto"/>
            <w:left w:val="none" w:sz="0" w:space="0" w:color="auto"/>
            <w:bottom w:val="none" w:sz="0" w:space="0" w:color="auto"/>
            <w:right w:val="none" w:sz="0" w:space="0" w:color="auto"/>
          </w:divBdr>
        </w:div>
        <w:div w:id="1756785909">
          <w:marLeft w:val="0"/>
          <w:marRight w:val="0"/>
          <w:marTop w:val="0"/>
          <w:marBottom w:val="0"/>
          <w:divBdr>
            <w:top w:val="none" w:sz="0" w:space="0" w:color="auto"/>
            <w:left w:val="none" w:sz="0" w:space="0" w:color="auto"/>
            <w:bottom w:val="none" w:sz="0" w:space="0" w:color="auto"/>
            <w:right w:val="none" w:sz="0" w:space="0" w:color="auto"/>
          </w:divBdr>
        </w:div>
        <w:div w:id="1756785919">
          <w:marLeft w:val="0"/>
          <w:marRight w:val="0"/>
          <w:marTop w:val="0"/>
          <w:marBottom w:val="0"/>
          <w:divBdr>
            <w:top w:val="none" w:sz="0" w:space="0" w:color="auto"/>
            <w:left w:val="none" w:sz="0" w:space="0" w:color="auto"/>
            <w:bottom w:val="none" w:sz="0" w:space="0" w:color="auto"/>
            <w:right w:val="none" w:sz="0" w:space="0" w:color="auto"/>
          </w:divBdr>
        </w:div>
        <w:div w:id="1756785934">
          <w:marLeft w:val="0"/>
          <w:marRight w:val="0"/>
          <w:marTop w:val="0"/>
          <w:marBottom w:val="0"/>
          <w:divBdr>
            <w:top w:val="none" w:sz="0" w:space="0" w:color="auto"/>
            <w:left w:val="none" w:sz="0" w:space="0" w:color="auto"/>
            <w:bottom w:val="none" w:sz="0" w:space="0" w:color="auto"/>
            <w:right w:val="none" w:sz="0" w:space="0" w:color="auto"/>
          </w:divBdr>
        </w:div>
        <w:div w:id="1756785960">
          <w:marLeft w:val="0"/>
          <w:marRight w:val="0"/>
          <w:marTop w:val="0"/>
          <w:marBottom w:val="0"/>
          <w:divBdr>
            <w:top w:val="none" w:sz="0" w:space="0" w:color="auto"/>
            <w:left w:val="none" w:sz="0" w:space="0" w:color="auto"/>
            <w:bottom w:val="none" w:sz="0" w:space="0" w:color="auto"/>
            <w:right w:val="none" w:sz="0" w:space="0" w:color="auto"/>
          </w:divBdr>
        </w:div>
        <w:div w:id="1756785961">
          <w:marLeft w:val="0"/>
          <w:marRight w:val="0"/>
          <w:marTop w:val="0"/>
          <w:marBottom w:val="0"/>
          <w:divBdr>
            <w:top w:val="none" w:sz="0" w:space="0" w:color="auto"/>
            <w:left w:val="none" w:sz="0" w:space="0" w:color="auto"/>
            <w:bottom w:val="none" w:sz="0" w:space="0" w:color="auto"/>
            <w:right w:val="none" w:sz="0" w:space="0" w:color="auto"/>
          </w:divBdr>
        </w:div>
        <w:div w:id="1756785962">
          <w:marLeft w:val="0"/>
          <w:marRight w:val="0"/>
          <w:marTop w:val="0"/>
          <w:marBottom w:val="0"/>
          <w:divBdr>
            <w:top w:val="none" w:sz="0" w:space="0" w:color="auto"/>
            <w:left w:val="none" w:sz="0" w:space="0" w:color="auto"/>
            <w:bottom w:val="none" w:sz="0" w:space="0" w:color="auto"/>
            <w:right w:val="none" w:sz="0" w:space="0" w:color="auto"/>
          </w:divBdr>
        </w:div>
        <w:div w:id="1756785964">
          <w:marLeft w:val="0"/>
          <w:marRight w:val="0"/>
          <w:marTop w:val="0"/>
          <w:marBottom w:val="0"/>
          <w:divBdr>
            <w:top w:val="none" w:sz="0" w:space="0" w:color="auto"/>
            <w:left w:val="none" w:sz="0" w:space="0" w:color="auto"/>
            <w:bottom w:val="none" w:sz="0" w:space="0" w:color="auto"/>
            <w:right w:val="none" w:sz="0" w:space="0" w:color="auto"/>
          </w:divBdr>
        </w:div>
        <w:div w:id="1756785967">
          <w:marLeft w:val="0"/>
          <w:marRight w:val="0"/>
          <w:marTop w:val="0"/>
          <w:marBottom w:val="0"/>
          <w:divBdr>
            <w:top w:val="none" w:sz="0" w:space="0" w:color="auto"/>
            <w:left w:val="none" w:sz="0" w:space="0" w:color="auto"/>
            <w:bottom w:val="none" w:sz="0" w:space="0" w:color="auto"/>
            <w:right w:val="none" w:sz="0" w:space="0" w:color="auto"/>
          </w:divBdr>
        </w:div>
      </w:divsChild>
    </w:div>
    <w:div w:id="1756785666">
      <w:marLeft w:val="0"/>
      <w:marRight w:val="0"/>
      <w:marTop w:val="0"/>
      <w:marBottom w:val="0"/>
      <w:divBdr>
        <w:top w:val="none" w:sz="0" w:space="0" w:color="auto"/>
        <w:left w:val="none" w:sz="0" w:space="0" w:color="auto"/>
        <w:bottom w:val="none" w:sz="0" w:space="0" w:color="auto"/>
        <w:right w:val="none" w:sz="0" w:space="0" w:color="auto"/>
      </w:divBdr>
    </w:div>
    <w:div w:id="1756785671">
      <w:marLeft w:val="0"/>
      <w:marRight w:val="0"/>
      <w:marTop w:val="0"/>
      <w:marBottom w:val="0"/>
      <w:divBdr>
        <w:top w:val="none" w:sz="0" w:space="0" w:color="auto"/>
        <w:left w:val="none" w:sz="0" w:space="0" w:color="auto"/>
        <w:bottom w:val="none" w:sz="0" w:space="0" w:color="auto"/>
        <w:right w:val="none" w:sz="0" w:space="0" w:color="auto"/>
      </w:divBdr>
      <w:divsChild>
        <w:div w:id="1756785775">
          <w:marLeft w:val="0"/>
          <w:marRight w:val="0"/>
          <w:marTop w:val="0"/>
          <w:marBottom w:val="0"/>
          <w:divBdr>
            <w:top w:val="none" w:sz="0" w:space="0" w:color="auto"/>
            <w:left w:val="none" w:sz="0" w:space="0" w:color="auto"/>
            <w:bottom w:val="none" w:sz="0" w:space="0" w:color="auto"/>
            <w:right w:val="none" w:sz="0" w:space="0" w:color="auto"/>
          </w:divBdr>
        </w:div>
      </w:divsChild>
    </w:div>
    <w:div w:id="1756785681">
      <w:marLeft w:val="0"/>
      <w:marRight w:val="0"/>
      <w:marTop w:val="0"/>
      <w:marBottom w:val="0"/>
      <w:divBdr>
        <w:top w:val="none" w:sz="0" w:space="0" w:color="auto"/>
        <w:left w:val="none" w:sz="0" w:space="0" w:color="auto"/>
        <w:bottom w:val="none" w:sz="0" w:space="0" w:color="auto"/>
        <w:right w:val="none" w:sz="0" w:space="0" w:color="auto"/>
      </w:divBdr>
      <w:divsChild>
        <w:div w:id="1756785664">
          <w:marLeft w:val="0"/>
          <w:marRight w:val="0"/>
          <w:marTop w:val="0"/>
          <w:marBottom w:val="0"/>
          <w:divBdr>
            <w:top w:val="none" w:sz="0" w:space="0" w:color="auto"/>
            <w:left w:val="none" w:sz="0" w:space="0" w:color="auto"/>
            <w:bottom w:val="none" w:sz="0" w:space="0" w:color="auto"/>
            <w:right w:val="none" w:sz="0" w:space="0" w:color="auto"/>
          </w:divBdr>
        </w:div>
        <w:div w:id="1756785668">
          <w:marLeft w:val="0"/>
          <w:marRight w:val="0"/>
          <w:marTop w:val="0"/>
          <w:marBottom w:val="0"/>
          <w:divBdr>
            <w:top w:val="none" w:sz="0" w:space="0" w:color="auto"/>
            <w:left w:val="none" w:sz="0" w:space="0" w:color="auto"/>
            <w:bottom w:val="none" w:sz="0" w:space="0" w:color="auto"/>
            <w:right w:val="none" w:sz="0" w:space="0" w:color="auto"/>
          </w:divBdr>
        </w:div>
        <w:div w:id="1756785678">
          <w:marLeft w:val="0"/>
          <w:marRight w:val="0"/>
          <w:marTop w:val="0"/>
          <w:marBottom w:val="0"/>
          <w:divBdr>
            <w:top w:val="none" w:sz="0" w:space="0" w:color="auto"/>
            <w:left w:val="none" w:sz="0" w:space="0" w:color="auto"/>
            <w:bottom w:val="none" w:sz="0" w:space="0" w:color="auto"/>
            <w:right w:val="none" w:sz="0" w:space="0" w:color="auto"/>
          </w:divBdr>
        </w:div>
        <w:div w:id="1756785682">
          <w:marLeft w:val="0"/>
          <w:marRight w:val="0"/>
          <w:marTop w:val="0"/>
          <w:marBottom w:val="0"/>
          <w:divBdr>
            <w:top w:val="none" w:sz="0" w:space="0" w:color="auto"/>
            <w:left w:val="none" w:sz="0" w:space="0" w:color="auto"/>
            <w:bottom w:val="none" w:sz="0" w:space="0" w:color="auto"/>
            <w:right w:val="none" w:sz="0" w:space="0" w:color="auto"/>
          </w:divBdr>
        </w:div>
        <w:div w:id="1756785701">
          <w:marLeft w:val="0"/>
          <w:marRight w:val="0"/>
          <w:marTop w:val="0"/>
          <w:marBottom w:val="0"/>
          <w:divBdr>
            <w:top w:val="none" w:sz="0" w:space="0" w:color="auto"/>
            <w:left w:val="none" w:sz="0" w:space="0" w:color="auto"/>
            <w:bottom w:val="none" w:sz="0" w:space="0" w:color="auto"/>
            <w:right w:val="none" w:sz="0" w:space="0" w:color="auto"/>
          </w:divBdr>
        </w:div>
        <w:div w:id="1756785721">
          <w:marLeft w:val="0"/>
          <w:marRight w:val="0"/>
          <w:marTop w:val="0"/>
          <w:marBottom w:val="0"/>
          <w:divBdr>
            <w:top w:val="none" w:sz="0" w:space="0" w:color="auto"/>
            <w:left w:val="none" w:sz="0" w:space="0" w:color="auto"/>
            <w:bottom w:val="none" w:sz="0" w:space="0" w:color="auto"/>
            <w:right w:val="none" w:sz="0" w:space="0" w:color="auto"/>
          </w:divBdr>
        </w:div>
        <w:div w:id="1756785756">
          <w:marLeft w:val="0"/>
          <w:marRight w:val="0"/>
          <w:marTop w:val="0"/>
          <w:marBottom w:val="0"/>
          <w:divBdr>
            <w:top w:val="none" w:sz="0" w:space="0" w:color="auto"/>
            <w:left w:val="none" w:sz="0" w:space="0" w:color="auto"/>
            <w:bottom w:val="none" w:sz="0" w:space="0" w:color="auto"/>
            <w:right w:val="none" w:sz="0" w:space="0" w:color="auto"/>
          </w:divBdr>
        </w:div>
        <w:div w:id="1756785761">
          <w:marLeft w:val="0"/>
          <w:marRight w:val="0"/>
          <w:marTop w:val="0"/>
          <w:marBottom w:val="0"/>
          <w:divBdr>
            <w:top w:val="none" w:sz="0" w:space="0" w:color="auto"/>
            <w:left w:val="none" w:sz="0" w:space="0" w:color="auto"/>
            <w:bottom w:val="none" w:sz="0" w:space="0" w:color="auto"/>
            <w:right w:val="none" w:sz="0" w:space="0" w:color="auto"/>
          </w:divBdr>
        </w:div>
        <w:div w:id="1756785779">
          <w:marLeft w:val="0"/>
          <w:marRight w:val="0"/>
          <w:marTop w:val="0"/>
          <w:marBottom w:val="0"/>
          <w:divBdr>
            <w:top w:val="none" w:sz="0" w:space="0" w:color="auto"/>
            <w:left w:val="none" w:sz="0" w:space="0" w:color="auto"/>
            <w:bottom w:val="none" w:sz="0" w:space="0" w:color="auto"/>
            <w:right w:val="none" w:sz="0" w:space="0" w:color="auto"/>
          </w:divBdr>
        </w:div>
        <w:div w:id="1756785800">
          <w:marLeft w:val="0"/>
          <w:marRight w:val="0"/>
          <w:marTop w:val="0"/>
          <w:marBottom w:val="0"/>
          <w:divBdr>
            <w:top w:val="none" w:sz="0" w:space="0" w:color="auto"/>
            <w:left w:val="none" w:sz="0" w:space="0" w:color="auto"/>
            <w:bottom w:val="none" w:sz="0" w:space="0" w:color="auto"/>
            <w:right w:val="none" w:sz="0" w:space="0" w:color="auto"/>
          </w:divBdr>
        </w:div>
        <w:div w:id="1756785803">
          <w:marLeft w:val="0"/>
          <w:marRight w:val="0"/>
          <w:marTop w:val="0"/>
          <w:marBottom w:val="0"/>
          <w:divBdr>
            <w:top w:val="none" w:sz="0" w:space="0" w:color="auto"/>
            <w:left w:val="none" w:sz="0" w:space="0" w:color="auto"/>
            <w:bottom w:val="none" w:sz="0" w:space="0" w:color="auto"/>
            <w:right w:val="none" w:sz="0" w:space="0" w:color="auto"/>
          </w:divBdr>
        </w:div>
        <w:div w:id="1756785807">
          <w:marLeft w:val="0"/>
          <w:marRight w:val="0"/>
          <w:marTop w:val="0"/>
          <w:marBottom w:val="0"/>
          <w:divBdr>
            <w:top w:val="none" w:sz="0" w:space="0" w:color="auto"/>
            <w:left w:val="none" w:sz="0" w:space="0" w:color="auto"/>
            <w:bottom w:val="none" w:sz="0" w:space="0" w:color="auto"/>
            <w:right w:val="none" w:sz="0" w:space="0" w:color="auto"/>
          </w:divBdr>
        </w:div>
        <w:div w:id="1756785812">
          <w:marLeft w:val="0"/>
          <w:marRight w:val="0"/>
          <w:marTop w:val="0"/>
          <w:marBottom w:val="0"/>
          <w:divBdr>
            <w:top w:val="none" w:sz="0" w:space="0" w:color="auto"/>
            <w:left w:val="none" w:sz="0" w:space="0" w:color="auto"/>
            <w:bottom w:val="none" w:sz="0" w:space="0" w:color="auto"/>
            <w:right w:val="none" w:sz="0" w:space="0" w:color="auto"/>
          </w:divBdr>
        </w:div>
        <w:div w:id="1756785813">
          <w:marLeft w:val="0"/>
          <w:marRight w:val="0"/>
          <w:marTop w:val="0"/>
          <w:marBottom w:val="0"/>
          <w:divBdr>
            <w:top w:val="none" w:sz="0" w:space="0" w:color="auto"/>
            <w:left w:val="none" w:sz="0" w:space="0" w:color="auto"/>
            <w:bottom w:val="none" w:sz="0" w:space="0" w:color="auto"/>
            <w:right w:val="none" w:sz="0" w:space="0" w:color="auto"/>
          </w:divBdr>
        </w:div>
        <w:div w:id="1756785831">
          <w:marLeft w:val="0"/>
          <w:marRight w:val="0"/>
          <w:marTop w:val="0"/>
          <w:marBottom w:val="0"/>
          <w:divBdr>
            <w:top w:val="none" w:sz="0" w:space="0" w:color="auto"/>
            <w:left w:val="none" w:sz="0" w:space="0" w:color="auto"/>
            <w:bottom w:val="none" w:sz="0" w:space="0" w:color="auto"/>
            <w:right w:val="none" w:sz="0" w:space="0" w:color="auto"/>
          </w:divBdr>
        </w:div>
        <w:div w:id="1756785835">
          <w:marLeft w:val="0"/>
          <w:marRight w:val="0"/>
          <w:marTop w:val="0"/>
          <w:marBottom w:val="0"/>
          <w:divBdr>
            <w:top w:val="none" w:sz="0" w:space="0" w:color="auto"/>
            <w:left w:val="none" w:sz="0" w:space="0" w:color="auto"/>
            <w:bottom w:val="none" w:sz="0" w:space="0" w:color="auto"/>
            <w:right w:val="none" w:sz="0" w:space="0" w:color="auto"/>
          </w:divBdr>
        </w:div>
        <w:div w:id="1756785858">
          <w:marLeft w:val="0"/>
          <w:marRight w:val="0"/>
          <w:marTop w:val="0"/>
          <w:marBottom w:val="0"/>
          <w:divBdr>
            <w:top w:val="none" w:sz="0" w:space="0" w:color="auto"/>
            <w:left w:val="none" w:sz="0" w:space="0" w:color="auto"/>
            <w:bottom w:val="none" w:sz="0" w:space="0" w:color="auto"/>
            <w:right w:val="none" w:sz="0" w:space="0" w:color="auto"/>
          </w:divBdr>
        </w:div>
        <w:div w:id="1756785862">
          <w:marLeft w:val="0"/>
          <w:marRight w:val="0"/>
          <w:marTop w:val="0"/>
          <w:marBottom w:val="0"/>
          <w:divBdr>
            <w:top w:val="none" w:sz="0" w:space="0" w:color="auto"/>
            <w:left w:val="none" w:sz="0" w:space="0" w:color="auto"/>
            <w:bottom w:val="none" w:sz="0" w:space="0" w:color="auto"/>
            <w:right w:val="none" w:sz="0" w:space="0" w:color="auto"/>
          </w:divBdr>
        </w:div>
        <w:div w:id="1756785865">
          <w:marLeft w:val="0"/>
          <w:marRight w:val="0"/>
          <w:marTop w:val="0"/>
          <w:marBottom w:val="0"/>
          <w:divBdr>
            <w:top w:val="none" w:sz="0" w:space="0" w:color="auto"/>
            <w:left w:val="none" w:sz="0" w:space="0" w:color="auto"/>
            <w:bottom w:val="none" w:sz="0" w:space="0" w:color="auto"/>
            <w:right w:val="none" w:sz="0" w:space="0" w:color="auto"/>
          </w:divBdr>
        </w:div>
        <w:div w:id="1756785875">
          <w:marLeft w:val="0"/>
          <w:marRight w:val="0"/>
          <w:marTop w:val="0"/>
          <w:marBottom w:val="0"/>
          <w:divBdr>
            <w:top w:val="none" w:sz="0" w:space="0" w:color="auto"/>
            <w:left w:val="none" w:sz="0" w:space="0" w:color="auto"/>
            <w:bottom w:val="none" w:sz="0" w:space="0" w:color="auto"/>
            <w:right w:val="none" w:sz="0" w:space="0" w:color="auto"/>
          </w:divBdr>
        </w:div>
        <w:div w:id="1756785877">
          <w:marLeft w:val="0"/>
          <w:marRight w:val="0"/>
          <w:marTop w:val="0"/>
          <w:marBottom w:val="0"/>
          <w:divBdr>
            <w:top w:val="none" w:sz="0" w:space="0" w:color="auto"/>
            <w:left w:val="none" w:sz="0" w:space="0" w:color="auto"/>
            <w:bottom w:val="none" w:sz="0" w:space="0" w:color="auto"/>
            <w:right w:val="none" w:sz="0" w:space="0" w:color="auto"/>
          </w:divBdr>
        </w:div>
        <w:div w:id="1756785890">
          <w:marLeft w:val="0"/>
          <w:marRight w:val="0"/>
          <w:marTop w:val="0"/>
          <w:marBottom w:val="0"/>
          <w:divBdr>
            <w:top w:val="none" w:sz="0" w:space="0" w:color="auto"/>
            <w:left w:val="none" w:sz="0" w:space="0" w:color="auto"/>
            <w:bottom w:val="none" w:sz="0" w:space="0" w:color="auto"/>
            <w:right w:val="none" w:sz="0" w:space="0" w:color="auto"/>
          </w:divBdr>
        </w:div>
        <w:div w:id="1756785894">
          <w:marLeft w:val="0"/>
          <w:marRight w:val="0"/>
          <w:marTop w:val="0"/>
          <w:marBottom w:val="0"/>
          <w:divBdr>
            <w:top w:val="none" w:sz="0" w:space="0" w:color="auto"/>
            <w:left w:val="none" w:sz="0" w:space="0" w:color="auto"/>
            <w:bottom w:val="none" w:sz="0" w:space="0" w:color="auto"/>
            <w:right w:val="none" w:sz="0" w:space="0" w:color="auto"/>
          </w:divBdr>
        </w:div>
        <w:div w:id="1756785895">
          <w:marLeft w:val="0"/>
          <w:marRight w:val="0"/>
          <w:marTop w:val="0"/>
          <w:marBottom w:val="0"/>
          <w:divBdr>
            <w:top w:val="none" w:sz="0" w:space="0" w:color="auto"/>
            <w:left w:val="none" w:sz="0" w:space="0" w:color="auto"/>
            <w:bottom w:val="none" w:sz="0" w:space="0" w:color="auto"/>
            <w:right w:val="none" w:sz="0" w:space="0" w:color="auto"/>
          </w:divBdr>
        </w:div>
        <w:div w:id="1756785914">
          <w:marLeft w:val="0"/>
          <w:marRight w:val="0"/>
          <w:marTop w:val="0"/>
          <w:marBottom w:val="0"/>
          <w:divBdr>
            <w:top w:val="none" w:sz="0" w:space="0" w:color="auto"/>
            <w:left w:val="none" w:sz="0" w:space="0" w:color="auto"/>
            <w:bottom w:val="none" w:sz="0" w:space="0" w:color="auto"/>
            <w:right w:val="none" w:sz="0" w:space="0" w:color="auto"/>
          </w:divBdr>
        </w:div>
        <w:div w:id="1756785930">
          <w:marLeft w:val="0"/>
          <w:marRight w:val="0"/>
          <w:marTop w:val="0"/>
          <w:marBottom w:val="0"/>
          <w:divBdr>
            <w:top w:val="none" w:sz="0" w:space="0" w:color="auto"/>
            <w:left w:val="none" w:sz="0" w:space="0" w:color="auto"/>
            <w:bottom w:val="none" w:sz="0" w:space="0" w:color="auto"/>
            <w:right w:val="none" w:sz="0" w:space="0" w:color="auto"/>
          </w:divBdr>
        </w:div>
        <w:div w:id="1756785951">
          <w:marLeft w:val="0"/>
          <w:marRight w:val="0"/>
          <w:marTop w:val="0"/>
          <w:marBottom w:val="0"/>
          <w:divBdr>
            <w:top w:val="none" w:sz="0" w:space="0" w:color="auto"/>
            <w:left w:val="none" w:sz="0" w:space="0" w:color="auto"/>
            <w:bottom w:val="none" w:sz="0" w:space="0" w:color="auto"/>
            <w:right w:val="none" w:sz="0" w:space="0" w:color="auto"/>
          </w:divBdr>
        </w:div>
        <w:div w:id="1756785969">
          <w:marLeft w:val="0"/>
          <w:marRight w:val="0"/>
          <w:marTop w:val="0"/>
          <w:marBottom w:val="0"/>
          <w:divBdr>
            <w:top w:val="none" w:sz="0" w:space="0" w:color="auto"/>
            <w:left w:val="none" w:sz="0" w:space="0" w:color="auto"/>
            <w:bottom w:val="none" w:sz="0" w:space="0" w:color="auto"/>
            <w:right w:val="none" w:sz="0" w:space="0" w:color="auto"/>
          </w:divBdr>
        </w:div>
      </w:divsChild>
    </w:div>
    <w:div w:id="1756785691">
      <w:marLeft w:val="0"/>
      <w:marRight w:val="0"/>
      <w:marTop w:val="0"/>
      <w:marBottom w:val="0"/>
      <w:divBdr>
        <w:top w:val="none" w:sz="0" w:space="0" w:color="auto"/>
        <w:left w:val="none" w:sz="0" w:space="0" w:color="auto"/>
        <w:bottom w:val="none" w:sz="0" w:space="0" w:color="auto"/>
        <w:right w:val="none" w:sz="0" w:space="0" w:color="auto"/>
      </w:divBdr>
    </w:div>
    <w:div w:id="1756785725">
      <w:marLeft w:val="0"/>
      <w:marRight w:val="0"/>
      <w:marTop w:val="0"/>
      <w:marBottom w:val="0"/>
      <w:divBdr>
        <w:top w:val="none" w:sz="0" w:space="0" w:color="auto"/>
        <w:left w:val="none" w:sz="0" w:space="0" w:color="auto"/>
        <w:bottom w:val="none" w:sz="0" w:space="0" w:color="auto"/>
        <w:right w:val="none" w:sz="0" w:space="0" w:color="auto"/>
      </w:divBdr>
    </w:div>
    <w:div w:id="1756785730">
      <w:marLeft w:val="0"/>
      <w:marRight w:val="0"/>
      <w:marTop w:val="0"/>
      <w:marBottom w:val="0"/>
      <w:divBdr>
        <w:top w:val="none" w:sz="0" w:space="0" w:color="auto"/>
        <w:left w:val="none" w:sz="0" w:space="0" w:color="auto"/>
        <w:bottom w:val="none" w:sz="0" w:space="0" w:color="auto"/>
        <w:right w:val="none" w:sz="0" w:space="0" w:color="auto"/>
      </w:divBdr>
      <w:divsChild>
        <w:div w:id="1756785792">
          <w:marLeft w:val="0"/>
          <w:marRight w:val="0"/>
          <w:marTop w:val="0"/>
          <w:marBottom w:val="0"/>
          <w:divBdr>
            <w:top w:val="none" w:sz="0" w:space="0" w:color="auto"/>
            <w:left w:val="none" w:sz="0" w:space="0" w:color="auto"/>
            <w:bottom w:val="none" w:sz="0" w:space="0" w:color="auto"/>
            <w:right w:val="none" w:sz="0" w:space="0" w:color="auto"/>
          </w:divBdr>
        </w:div>
        <w:div w:id="1756785845">
          <w:marLeft w:val="0"/>
          <w:marRight w:val="0"/>
          <w:marTop w:val="0"/>
          <w:marBottom w:val="0"/>
          <w:divBdr>
            <w:top w:val="none" w:sz="0" w:space="0" w:color="auto"/>
            <w:left w:val="none" w:sz="0" w:space="0" w:color="auto"/>
            <w:bottom w:val="none" w:sz="0" w:space="0" w:color="auto"/>
            <w:right w:val="none" w:sz="0" w:space="0" w:color="auto"/>
          </w:divBdr>
        </w:div>
        <w:div w:id="1756785943">
          <w:marLeft w:val="0"/>
          <w:marRight w:val="0"/>
          <w:marTop w:val="0"/>
          <w:marBottom w:val="0"/>
          <w:divBdr>
            <w:top w:val="none" w:sz="0" w:space="0" w:color="auto"/>
            <w:left w:val="none" w:sz="0" w:space="0" w:color="auto"/>
            <w:bottom w:val="none" w:sz="0" w:space="0" w:color="auto"/>
            <w:right w:val="none" w:sz="0" w:space="0" w:color="auto"/>
          </w:divBdr>
        </w:div>
      </w:divsChild>
    </w:div>
    <w:div w:id="1756785732">
      <w:marLeft w:val="0"/>
      <w:marRight w:val="0"/>
      <w:marTop w:val="0"/>
      <w:marBottom w:val="0"/>
      <w:divBdr>
        <w:top w:val="none" w:sz="0" w:space="0" w:color="auto"/>
        <w:left w:val="none" w:sz="0" w:space="0" w:color="auto"/>
        <w:bottom w:val="none" w:sz="0" w:space="0" w:color="auto"/>
        <w:right w:val="none" w:sz="0" w:space="0" w:color="auto"/>
      </w:divBdr>
      <w:divsChild>
        <w:div w:id="1756785881">
          <w:marLeft w:val="0"/>
          <w:marRight w:val="0"/>
          <w:marTop w:val="0"/>
          <w:marBottom w:val="0"/>
          <w:divBdr>
            <w:top w:val="none" w:sz="0" w:space="0" w:color="auto"/>
            <w:left w:val="none" w:sz="0" w:space="0" w:color="auto"/>
            <w:bottom w:val="none" w:sz="0" w:space="0" w:color="auto"/>
            <w:right w:val="none" w:sz="0" w:space="0" w:color="auto"/>
          </w:divBdr>
        </w:div>
      </w:divsChild>
    </w:div>
    <w:div w:id="1756785752">
      <w:marLeft w:val="0"/>
      <w:marRight w:val="0"/>
      <w:marTop w:val="0"/>
      <w:marBottom w:val="0"/>
      <w:divBdr>
        <w:top w:val="none" w:sz="0" w:space="0" w:color="auto"/>
        <w:left w:val="none" w:sz="0" w:space="0" w:color="auto"/>
        <w:bottom w:val="none" w:sz="0" w:space="0" w:color="auto"/>
        <w:right w:val="none" w:sz="0" w:space="0" w:color="auto"/>
      </w:divBdr>
      <w:divsChild>
        <w:div w:id="1756785684">
          <w:marLeft w:val="0"/>
          <w:marRight w:val="0"/>
          <w:marTop w:val="0"/>
          <w:marBottom w:val="0"/>
          <w:divBdr>
            <w:top w:val="none" w:sz="0" w:space="0" w:color="auto"/>
            <w:left w:val="none" w:sz="0" w:space="0" w:color="auto"/>
            <w:bottom w:val="none" w:sz="0" w:space="0" w:color="auto"/>
            <w:right w:val="none" w:sz="0" w:space="0" w:color="auto"/>
          </w:divBdr>
        </w:div>
      </w:divsChild>
    </w:div>
    <w:div w:id="1756785754">
      <w:marLeft w:val="0"/>
      <w:marRight w:val="0"/>
      <w:marTop w:val="0"/>
      <w:marBottom w:val="0"/>
      <w:divBdr>
        <w:top w:val="none" w:sz="0" w:space="0" w:color="auto"/>
        <w:left w:val="none" w:sz="0" w:space="0" w:color="auto"/>
        <w:bottom w:val="none" w:sz="0" w:space="0" w:color="auto"/>
        <w:right w:val="none" w:sz="0" w:space="0" w:color="auto"/>
      </w:divBdr>
      <w:divsChild>
        <w:div w:id="1756785772">
          <w:marLeft w:val="0"/>
          <w:marRight w:val="0"/>
          <w:marTop w:val="0"/>
          <w:marBottom w:val="0"/>
          <w:divBdr>
            <w:top w:val="none" w:sz="0" w:space="0" w:color="auto"/>
            <w:left w:val="none" w:sz="0" w:space="0" w:color="auto"/>
            <w:bottom w:val="none" w:sz="0" w:space="0" w:color="auto"/>
            <w:right w:val="none" w:sz="0" w:space="0" w:color="auto"/>
          </w:divBdr>
          <w:divsChild>
            <w:div w:id="175678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773">
      <w:marLeft w:val="0"/>
      <w:marRight w:val="0"/>
      <w:marTop w:val="0"/>
      <w:marBottom w:val="0"/>
      <w:divBdr>
        <w:top w:val="none" w:sz="0" w:space="0" w:color="auto"/>
        <w:left w:val="none" w:sz="0" w:space="0" w:color="auto"/>
        <w:bottom w:val="none" w:sz="0" w:space="0" w:color="auto"/>
        <w:right w:val="none" w:sz="0" w:space="0" w:color="auto"/>
      </w:divBdr>
      <w:divsChild>
        <w:div w:id="1756785764">
          <w:marLeft w:val="0"/>
          <w:marRight w:val="0"/>
          <w:marTop w:val="0"/>
          <w:marBottom w:val="0"/>
          <w:divBdr>
            <w:top w:val="none" w:sz="0" w:space="0" w:color="auto"/>
            <w:left w:val="none" w:sz="0" w:space="0" w:color="auto"/>
            <w:bottom w:val="none" w:sz="0" w:space="0" w:color="auto"/>
            <w:right w:val="none" w:sz="0" w:space="0" w:color="auto"/>
          </w:divBdr>
          <w:divsChild>
            <w:div w:id="175678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774">
      <w:marLeft w:val="0"/>
      <w:marRight w:val="0"/>
      <w:marTop w:val="0"/>
      <w:marBottom w:val="0"/>
      <w:divBdr>
        <w:top w:val="none" w:sz="0" w:space="0" w:color="auto"/>
        <w:left w:val="none" w:sz="0" w:space="0" w:color="auto"/>
        <w:bottom w:val="none" w:sz="0" w:space="0" w:color="auto"/>
        <w:right w:val="none" w:sz="0" w:space="0" w:color="auto"/>
      </w:divBdr>
    </w:div>
    <w:div w:id="1756785777">
      <w:marLeft w:val="0"/>
      <w:marRight w:val="0"/>
      <w:marTop w:val="0"/>
      <w:marBottom w:val="0"/>
      <w:divBdr>
        <w:top w:val="none" w:sz="0" w:space="0" w:color="auto"/>
        <w:left w:val="none" w:sz="0" w:space="0" w:color="auto"/>
        <w:bottom w:val="none" w:sz="0" w:space="0" w:color="auto"/>
        <w:right w:val="none" w:sz="0" w:space="0" w:color="auto"/>
      </w:divBdr>
    </w:div>
    <w:div w:id="1756785788">
      <w:marLeft w:val="0"/>
      <w:marRight w:val="0"/>
      <w:marTop w:val="0"/>
      <w:marBottom w:val="0"/>
      <w:divBdr>
        <w:top w:val="none" w:sz="0" w:space="0" w:color="auto"/>
        <w:left w:val="none" w:sz="0" w:space="0" w:color="auto"/>
        <w:bottom w:val="none" w:sz="0" w:space="0" w:color="auto"/>
        <w:right w:val="none" w:sz="0" w:space="0" w:color="auto"/>
      </w:divBdr>
      <w:divsChild>
        <w:div w:id="1756785954">
          <w:marLeft w:val="0"/>
          <w:marRight w:val="0"/>
          <w:marTop w:val="0"/>
          <w:marBottom w:val="0"/>
          <w:divBdr>
            <w:top w:val="none" w:sz="0" w:space="0" w:color="auto"/>
            <w:left w:val="none" w:sz="0" w:space="0" w:color="auto"/>
            <w:bottom w:val="none" w:sz="0" w:space="0" w:color="auto"/>
            <w:right w:val="none" w:sz="0" w:space="0" w:color="auto"/>
          </w:divBdr>
          <w:divsChild>
            <w:div w:id="175678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789">
      <w:marLeft w:val="0"/>
      <w:marRight w:val="0"/>
      <w:marTop w:val="0"/>
      <w:marBottom w:val="0"/>
      <w:divBdr>
        <w:top w:val="none" w:sz="0" w:space="0" w:color="auto"/>
        <w:left w:val="none" w:sz="0" w:space="0" w:color="auto"/>
        <w:bottom w:val="none" w:sz="0" w:space="0" w:color="auto"/>
        <w:right w:val="none" w:sz="0" w:space="0" w:color="auto"/>
      </w:divBdr>
    </w:div>
    <w:div w:id="1756785790">
      <w:marLeft w:val="0"/>
      <w:marRight w:val="0"/>
      <w:marTop w:val="0"/>
      <w:marBottom w:val="0"/>
      <w:divBdr>
        <w:top w:val="none" w:sz="0" w:space="0" w:color="auto"/>
        <w:left w:val="none" w:sz="0" w:space="0" w:color="auto"/>
        <w:bottom w:val="none" w:sz="0" w:space="0" w:color="auto"/>
        <w:right w:val="none" w:sz="0" w:space="0" w:color="auto"/>
      </w:divBdr>
      <w:divsChild>
        <w:div w:id="1756785922">
          <w:marLeft w:val="0"/>
          <w:marRight w:val="0"/>
          <w:marTop w:val="0"/>
          <w:marBottom w:val="0"/>
          <w:divBdr>
            <w:top w:val="none" w:sz="0" w:space="0" w:color="auto"/>
            <w:left w:val="none" w:sz="0" w:space="0" w:color="auto"/>
            <w:bottom w:val="none" w:sz="0" w:space="0" w:color="auto"/>
            <w:right w:val="none" w:sz="0" w:space="0" w:color="auto"/>
          </w:divBdr>
        </w:div>
      </w:divsChild>
    </w:div>
    <w:div w:id="1756785794">
      <w:marLeft w:val="0"/>
      <w:marRight w:val="0"/>
      <w:marTop w:val="0"/>
      <w:marBottom w:val="0"/>
      <w:divBdr>
        <w:top w:val="none" w:sz="0" w:space="0" w:color="auto"/>
        <w:left w:val="none" w:sz="0" w:space="0" w:color="auto"/>
        <w:bottom w:val="none" w:sz="0" w:space="0" w:color="auto"/>
        <w:right w:val="none" w:sz="0" w:space="0" w:color="auto"/>
      </w:divBdr>
      <w:divsChild>
        <w:div w:id="1756785673">
          <w:marLeft w:val="0"/>
          <w:marRight w:val="0"/>
          <w:marTop w:val="0"/>
          <w:marBottom w:val="0"/>
          <w:divBdr>
            <w:top w:val="none" w:sz="0" w:space="0" w:color="auto"/>
            <w:left w:val="none" w:sz="0" w:space="0" w:color="auto"/>
            <w:bottom w:val="none" w:sz="0" w:space="0" w:color="auto"/>
            <w:right w:val="none" w:sz="0" w:space="0" w:color="auto"/>
          </w:divBdr>
        </w:div>
        <w:div w:id="1756785683">
          <w:marLeft w:val="0"/>
          <w:marRight w:val="0"/>
          <w:marTop w:val="0"/>
          <w:marBottom w:val="0"/>
          <w:divBdr>
            <w:top w:val="none" w:sz="0" w:space="0" w:color="auto"/>
            <w:left w:val="none" w:sz="0" w:space="0" w:color="auto"/>
            <w:bottom w:val="none" w:sz="0" w:space="0" w:color="auto"/>
            <w:right w:val="none" w:sz="0" w:space="0" w:color="auto"/>
          </w:divBdr>
        </w:div>
        <w:div w:id="1756785703">
          <w:marLeft w:val="0"/>
          <w:marRight w:val="0"/>
          <w:marTop w:val="0"/>
          <w:marBottom w:val="0"/>
          <w:divBdr>
            <w:top w:val="none" w:sz="0" w:space="0" w:color="auto"/>
            <w:left w:val="none" w:sz="0" w:space="0" w:color="auto"/>
            <w:bottom w:val="none" w:sz="0" w:space="0" w:color="auto"/>
            <w:right w:val="none" w:sz="0" w:space="0" w:color="auto"/>
          </w:divBdr>
        </w:div>
        <w:div w:id="1756785706">
          <w:marLeft w:val="0"/>
          <w:marRight w:val="0"/>
          <w:marTop w:val="0"/>
          <w:marBottom w:val="0"/>
          <w:divBdr>
            <w:top w:val="none" w:sz="0" w:space="0" w:color="auto"/>
            <w:left w:val="none" w:sz="0" w:space="0" w:color="auto"/>
            <w:bottom w:val="none" w:sz="0" w:space="0" w:color="auto"/>
            <w:right w:val="none" w:sz="0" w:space="0" w:color="auto"/>
          </w:divBdr>
        </w:div>
        <w:div w:id="1756785715">
          <w:marLeft w:val="0"/>
          <w:marRight w:val="0"/>
          <w:marTop w:val="0"/>
          <w:marBottom w:val="0"/>
          <w:divBdr>
            <w:top w:val="none" w:sz="0" w:space="0" w:color="auto"/>
            <w:left w:val="none" w:sz="0" w:space="0" w:color="auto"/>
            <w:bottom w:val="none" w:sz="0" w:space="0" w:color="auto"/>
            <w:right w:val="none" w:sz="0" w:space="0" w:color="auto"/>
          </w:divBdr>
        </w:div>
        <w:div w:id="1756785718">
          <w:marLeft w:val="0"/>
          <w:marRight w:val="0"/>
          <w:marTop w:val="0"/>
          <w:marBottom w:val="0"/>
          <w:divBdr>
            <w:top w:val="none" w:sz="0" w:space="0" w:color="auto"/>
            <w:left w:val="none" w:sz="0" w:space="0" w:color="auto"/>
            <w:bottom w:val="none" w:sz="0" w:space="0" w:color="auto"/>
            <w:right w:val="none" w:sz="0" w:space="0" w:color="auto"/>
          </w:divBdr>
        </w:div>
        <w:div w:id="1756785729">
          <w:marLeft w:val="0"/>
          <w:marRight w:val="0"/>
          <w:marTop w:val="0"/>
          <w:marBottom w:val="0"/>
          <w:divBdr>
            <w:top w:val="none" w:sz="0" w:space="0" w:color="auto"/>
            <w:left w:val="none" w:sz="0" w:space="0" w:color="auto"/>
            <w:bottom w:val="none" w:sz="0" w:space="0" w:color="auto"/>
            <w:right w:val="none" w:sz="0" w:space="0" w:color="auto"/>
          </w:divBdr>
        </w:div>
        <w:div w:id="1756785744">
          <w:marLeft w:val="0"/>
          <w:marRight w:val="0"/>
          <w:marTop w:val="0"/>
          <w:marBottom w:val="0"/>
          <w:divBdr>
            <w:top w:val="none" w:sz="0" w:space="0" w:color="auto"/>
            <w:left w:val="none" w:sz="0" w:space="0" w:color="auto"/>
            <w:bottom w:val="none" w:sz="0" w:space="0" w:color="auto"/>
            <w:right w:val="none" w:sz="0" w:space="0" w:color="auto"/>
          </w:divBdr>
        </w:div>
        <w:div w:id="1756785745">
          <w:marLeft w:val="0"/>
          <w:marRight w:val="0"/>
          <w:marTop w:val="0"/>
          <w:marBottom w:val="0"/>
          <w:divBdr>
            <w:top w:val="none" w:sz="0" w:space="0" w:color="auto"/>
            <w:left w:val="none" w:sz="0" w:space="0" w:color="auto"/>
            <w:bottom w:val="none" w:sz="0" w:space="0" w:color="auto"/>
            <w:right w:val="none" w:sz="0" w:space="0" w:color="auto"/>
          </w:divBdr>
        </w:div>
        <w:div w:id="1756785746">
          <w:marLeft w:val="0"/>
          <w:marRight w:val="0"/>
          <w:marTop w:val="0"/>
          <w:marBottom w:val="0"/>
          <w:divBdr>
            <w:top w:val="none" w:sz="0" w:space="0" w:color="auto"/>
            <w:left w:val="none" w:sz="0" w:space="0" w:color="auto"/>
            <w:bottom w:val="none" w:sz="0" w:space="0" w:color="auto"/>
            <w:right w:val="none" w:sz="0" w:space="0" w:color="auto"/>
          </w:divBdr>
        </w:div>
        <w:div w:id="1756785749">
          <w:marLeft w:val="0"/>
          <w:marRight w:val="0"/>
          <w:marTop w:val="0"/>
          <w:marBottom w:val="0"/>
          <w:divBdr>
            <w:top w:val="none" w:sz="0" w:space="0" w:color="auto"/>
            <w:left w:val="none" w:sz="0" w:space="0" w:color="auto"/>
            <w:bottom w:val="none" w:sz="0" w:space="0" w:color="auto"/>
            <w:right w:val="none" w:sz="0" w:space="0" w:color="auto"/>
          </w:divBdr>
        </w:div>
        <w:div w:id="1756785753">
          <w:marLeft w:val="0"/>
          <w:marRight w:val="0"/>
          <w:marTop w:val="0"/>
          <w:marBottom w:val="0"/>
          <w:divBdr>
            <w:top w:val="none" w:sz="0" w:space="0" w:color="auto"/>
            <w:left w:val="none" w:sz="0" w:space="0" w:color="auto"/>
            <w:bottom w:val="none" w:sz="0" w:space="0" w:color="auto"/>
            <w:right w:val="none" w:sz="0" w:space="0" w:color="auto"/>
          </w:divBdr>
        </w:div>
        <w:div w:id="1756785763">
          <w:marLeft w:val="0"/>
          <w:marRight w:val="0"/>
          <w:marTop w:val="0"/>
          <w:marBottom w:val="0"/>
          <w:divBdr>
            <w:top w:val="none" w:sz="0" w:space="0" w:color="auto"/>
            <w:left w:val="none" w:sz="0" w:space="0" w:color="auto"/>
            <w:bottom w:val="none" w:sz="0" w:space="0" w:color="auto"/>
            <w:right w:val="none" w:sz="0" w:space="0" w:color="auto"/>
          </w:divBdr>
        </w:div>
        <w:div w:id="1756785765">
          <w:marLeft w:val="0"/>
          <w:marRight w:val="0"/>
          <w:marTop w:val="0"/>
          <w:marBottom w:val="0"/>
          <w:divBdr>
            <w:top w:val="none" w:sz="0" w:space="0" w:color="auto"/>
            <w:left w:val="none" w:sz="0" w:space="0" w:color="auto"/>
            <w:bottom w:val="none" w:sz="0" w:space="0" w:color="auto"/>
            <w:right w:val="none" w:sz="0" w:space="0" w:color="auto"/>
          </w:divBdr>
        </w:div>
        <w:div w:id="1756785770">
          <w:marLeft w:val="0"/>
          <w:marRight w:val="0"/>
          <w:marTop w:val="0"/>
          <w:marBottom w:val="0"/>
          <w:divBdr>
            <w:top w:val="none" w:sz="0" w:space="0" w:color="auto"/>
            <w:left w:val="none" w:sz="0" w:space="0" w:color="auto"/>
            <w:bottom w:val="none" w:sz="0" w:space="0" w:color="auto"/>
            <w:right w:val="none" w:sz="0" w:space="0" w:color="auto"/>
          </w:divBdr>
        </w:div>
        <w:div w:id="1756785787">
          <w:marLeft w:val="0"/>
          <w:marRight w:val="0"/>
          <w:marTop w:val="0"/>
          <w:marBottom w:val="0"/>
          <w:divBdr>
            <w:top w:val="none" w:sz="0" w:space="0" w:color="auto"/>
            <w:left w:val="none" w:sz="0" w:space="0" w:color="auto"/>
            <w:bottom w:val="none" w:sz="0" w:space="0" w:color="auto"/>
            <w:right w:val="none" w:sz="0" w:space="0" w:color="auto"/>
          </w:divBdr>
        </w:div>
        <w:div w:id="1756785796">
          <w:marLeft w:val="0"/>
          <w:marRight w:val="0"/>
          <w:marTop w:val="0"/>
          <w:marBottom w:val="0"/>
          <w:divBdr>
            <w:top w:val="none" w:sz="0" w:space="0" w:color="auto"/>
            <w:left w:val="none" w:sz="0" w:space="0" w:color="auto"/>
            <w:bottom w:val="none" w:sz="0" w:space="0" w:color="auto"/>
            <w:right w:val="none" w:sz="0" w:space="0" w:color="auto"/>
          </w:divBdr>
        </w:div>
        <w:div w:id="1756785805">
          <w:marLeft w:val="0"/>
          <w:marRight w:val="0"/>
          <w:marTop w:val="0"/>
          <w:marBottom w:val="0"/>
          <w:divBdr>
            <w:top w:val="none" w:sz="0" w:space="0" w:color="auto"/>
            <w:left w:val="none" w:sz="0" w:space="0" w:color="auto"/>
            <w:bottom w:val="none" w:sz="0" w:space="0" w:color="auto"/>
            <w:right w:val="none" w:sz="0" w:space="0" w:color="auto"/>
          </w:divBdr>
        </w:div>
        <w:div w:id="1756785806">
          <w:marLeft w:val="0"/>
          <w:marRight w:val="0"/>
          <w:marTop w:val="0"/>
          <w:marBottom w:val="0"/>
          <w:divBdr>
            <w:top w:val="none" w:sz="0" w:space="0" w:color="auto"/>
            <w:left w:val="none" w:sz="0" w:space="0" w:color="auto"/>
            <w:bottom w:val="none" w:sz="0" w:space="0" w:color="auto"/>
            <w:right w:val="none" w:sz="0" w:space="0" w:color="auto"/>
          </w:divBdr>
        </w:div>
        <w:div w:id="1756785811">
          <w:marLeft w:val="0"/>
          <w:marRight w:val="0"/>
          <w:marTop w:val="0"/>
          <w:marBottom w:val="0"/>
          <w:divBdr>
            <w:top w:val="none" w:sz="0" w:space="0" w:color="auto"/>
            <w:left w:val="none" w:sz="0" w:space="0" w:color="auto"/>
            <w:bottom w:val="none" w:sz="0" w:space="0" w:color="auto"/>
            <w:right w:val="none" w:sz="0" w:space="0" w:color="auto"/>
          </w:divBdr>
        </w:div>
        <w:div w:id="1756785818">
          <w:marLeft w:val="0"/>
          <w:marRight w:val="0"/>
          <w:marTop w:val="0"/>
          <w:marBottom w:val="0"/>
          <w:divBdr>
            <w:top w:val="none" w:sz="0" w:space="0" w:color="auto"/>
            <w:left w:val="none" w:sz="0" w:space="0" w:color="auto"/>
            <w:bottom w:val="none" w:sz="0" w:space="0" w:color="auto"/>
            <w:right w:val="none" w:sz="0" w:space="0" w:color="auto"/>
          </w:divBdr>
        </w:div>
        <w:div w:id="1756785819">
          <w:marLeft w:val="0"/>
          <w:marRight w:val="0"/>
          <w:marTop w:val="0"/>
          <w:marBottom w:val="0"/>
          <w:divBdr>
            <w:top w:val="none" w:sz="0" w:space="0" w:color="auto"/>
            <w:left w:val="none" w:sz="0" w:space="0" w:color="auto"/>
            <w:bottom w:val="none" w:sz="0" w:space="0" w:color="auto"/>
            <w:right w:val="none" w:sz="0" w:space="0" w:color="auto"/>
          </w:divBdr>
        </w:div>
        <w:div w:id="1756785820">
          <w:marLeft w:val="0"/>
          <w:marRight w:val="0"/>
          <w:marTop w:val="0"/>
          <w:marBottom w:val="0"/>
          <w:divBdr>
            <w:top w:val="none" w:sz="0" w:space="0" w:color="auto"/>
            <w:left w:val="none" w:sz="0" w:space="0" w:color="auto"/>
            <w:bottom w:val="none" w:sz="0" w:space="0" w:color="auto"/>
            <w:right w:val="none" w:sz="0" w:space="0" w:color="auto"/>
          </w:divBdr>
        </w:div>
        <w:div w:id="1756785822">
          <w:marLeft w:val="0"/>
          <w:marRight w:val="0"/>
          <w:marTop w:val="0"/>
          <w:marBottom w:val="0"/>
          <w:divBdr>
            <w:top w:val="none" w:sz="0" w:space="0" w:color="auto"/>
            <w:left w:val="none" w:sz="0" w:space="0" w:color="auto"/>
            <w:bottom w:val="none" w:sz="0" w:space="0" w:color="auto"/>
            <w:right w:val="none" w:sz="0" w:space="0" w:color="auto"/>
          </w:divBdr>
        </w:div>
        <w:div w:id="1756785832">
          <w:marLeft w:val="0"/>
          <w:marRight w:val="0"/>
          <w:marTop w:val="0"/>
          <w:marBottom w:val="0"/>
          <w:divBdr>
            <w:top w:val="none" w:sz="0" w:space="0" w:color="auto"/>
            <w:left w:val="none" w:sz="0" w:space="0" w:color="auto"/>
            <w:bottom w:val="none" w:sz="0" w:space="0" w:color="auto"/>
            <w:right w:val="none" w:sz="0" w:space="0" w:color="auto"/>
          </w:divBdr>
        </w:div>
        <w:div w:id="1756785843">
          <w:marLeft w:val="0"/>
          <w:marRight w:val="0"/>
          <w:marTop w:val="0"/>
          <w:marBottom w:val="0"/>
          <w:divBdr>
            <w:top w:val="none" w:sz="0" w:space="0" w:color="auto"/>
            <w:left w:val="none" w:sz="0" w:space="0" w:color="auto"/>
            <w:bottom w:val="none" w:sz="0" w:space="0" w:color="auto"/>
            <w:right w:val="none" w:sz="0" w:space="0" w:color="auto"/>
          </w:divBdr>
        </w:div>
        <w:div w:id="1756785849">
          <w:marLeft w:val="0"/>
          <w:marRight w:val="0"/>
          <w:marTop w:val="0"/>
          <w:marBottom w:val="0"/>
          <w:divBdr>
            <w:top w:val="none" w:sz="0" w:space="0" w:color="auto"/>
            <w:left w:val="none" w:sz="0" w:space="0" w:color="auto"/>
            <w:bottom w:val="none" w:sz="0" w:space="0" w:color="auto"/>
            <w:right w:val="none" w:sz="0" w:space="0" w:color="auto"/>
          </w:divBdr>
        </w:div>
        <w:div w:id="1756785871">
          <w:marLeft w:val="0"/>
          <w:marRight w:val="0"/>
          <w:marTop w:val="0"/>
          <w:marBottom w:val="0"/>
          <w:divBdr>
            <w:top w:val="none" w:sz="0" w:space="0" w:color="auto"/>
            <w:left w:val="none" w:sz="0" w:space="0" w:color="auto"/>
            <w:bottom w:val="none" w:sz="0" w:space="0" w:color="auto"/>
            <w:right w:val="none" w:sz="0" w:space="0" w:color="auto"/>
          </w:divBdr>
        </w:div>
        <w:div w:id="1756785912">
          <w:marLeft w:val="0"/>
          <w:marRight w:val="0"/>
          <w:marTop w:val="0"/>
          <w:marBottom w:val="0"/>
          <w:divBdr>
            <w:top w:val="none" w:sz="0" w:space="0" w:color="auto"/>
            <w:left w:val="none" w:sz="0" w:space="0" w:color="auto"/>
            <w:bottom w:val="none" w:sz="0" w:space="0" w:color="auto"/>
            <w:right w:val="none" w:sz="0" w:space="0" w:color="auto"/>
          </w:divBdr>
        </w:div>
        <w:div w:id="1756785916">
          <w:marLeft w:val="0"/>
          <w:marRight w:val="0"/>
          <w:marTop w:val="0"/>
          <w:marBottom w:val="0"/>
          <w:divBdr>
            <w:top w:val="none" w:sz="0" w:space="0" w:color="auto"/>
            <w:left w:val="none" w:sz="0" w:space="0" w:color="auto"/>
            <w:bottom w:val="none" w:sz="0" w:space="0" w:color="auto"/>
            <w:right w:val="none" w:sz="0" w:space="0" w:color="auto"/>
          </w:divBdr>
        </w:div>
        <w:div w:id="1756785921">
          <w:marLeft w:val="0"/>
          <w:marRight w:val="0"/>
          <w:marTop w:val="0"/>
          <w:marBottom w:val="0"/>
          <w:divBdr>
            <w:top w:val="none" w:sz="0" w:space="0" w:color="auto"/>
            <w:left w:val="none" w:sz="0" w:space="0" w:color="auto"/>
            <w:bottom w:val="none" w:sz="0" w:space="0" w:color="auto"/>
            <w:right w:val="none" w:sz="0" w:space="0" w:color="auto"/>
          </w:divBdr>
        </w:div>
        <w:div w:id="1756785923">
          <w:marLeft w:val="0"/>
          <w:marRight w:val="0"/>
          <w:marTop w:val="0"/>
          <w:marBottom w:val="0"/>
          <w:divBdr>
            <w:top w:val="none" w:sz="0" w:space="0" w:color="auto"/>
            <w:left w:val="none" w:sz="0" w:space="0" w:color="auto"/>
            <w:bottom w:val="none" w:sz="0" w:space="0" w:color="auto"/>
            <w:right w:val="none" w:sz="0" w:space="0" w:color="auto"/>
          </w:divBdr>
        </w:div>
        <w:div w:id="1756785932">
          <w:marLeft w:val="0"/>
          <w:marRight w:val="0"/>
          <w:marTop w:val="0"/>
          <w:marBottom w:val="0"/>
          <w:divBdr>
            <w:top w:val="none" w:sz="0" w:space="0" w:color="auto"/>
            <w:left w:val="none" w:sz="0" w:space="0" w:color="auto"/>
            <w:bottom w:val="none" w:sz="0" w:space="0" w:color="auto"/>
            <w:right w:val="none" w:sz="0" w:space="0" w:color="auto"/>
          </w:divBdr>
        </w:div>
        <w:div w:id="1756785941">
          <w:marLeft w:val="0"/>
          <w:marRight w:val="0"/>
          <w:marTop w:val="0"/>
          <w:marBottom w:val="0"/>
          <w:divBdr>
            <w:top w:val="none" w:sz="0" w:space="0" w:color="auto"/>
            <w:left w:val="none" w:sz="0" w:space="0" w:color="auto"/>
            <w:bottom w:val="none" w:sz="0" w:space="0" w:color="auto"/>
            <w:right w:val="none" w:sz="0" w:space="0" w:color="auto"/>
          </w:divBdr>
        </w:div>
        <w:div w:id="1756785963">
          <w:marLeft w:val="0"/>
          <w:marRight w:val="0"/>
          <w:marTop w:val="0"/>
          <w:marBottom w:val="0"/>
          <w:divBdr>
            <w:top w:val="none" w:sz="0" w:space="0" w:color="auto"/>
            <w:left w:val="none" w:sz="0" w:space="0" w:color="auto"/>
            <w:bottom w:val="none" w:sz="0" w:space="0" w:color="auto"/>
            <w:right w:val="none" w:sz="0" w:space="0" w:color="auto"/>
          </w:divBdr>
        </w:div>
        <w:div w:id="1756785965">
          <w:marLeft w:val="0"/>
          <w:marRight w:val="0"/>
          <w:marTop w:val="0"/>
          <w:marBottom w:val="0"/>
          <w:divBdr>
            <w:top w:val="none" w:sz="0" w:space="0" w:color="auto"/>
            <w:left w:val="none" w:sz="0" w:space="0" w:color="auto"/>
            <w:bottom w:val="none" w:sz="0" w:space="0" w:color="auto"/>
            <w:right w:val="none" w:sz="0" w:space="0" w:color="auto"/>
          </w:divBdr>
        </w:div>
      </w:divsChild>
    </w:div>
    <w:div w:id="1756785817">
      <w:marLeft w:val="0"/>
      <w:marRight w:val="0"/>
      <w:marTop w:val="0"/>
      <w:marBottom w:val="0"/>
      <w:divBdr>
        <w:top w:val="none" w:sz="0" w:space="0" w:color="auto"/>
        <w:left w:val="none" w:sz="0" w:space="0" w:color="auto"/>
        <w:bottom w:val="none" w:sz="0" w:space="0" w:color="auto"/>
        <w:right w:val="none" w:sz="0" w:space="0" w:color="auto"/>
      </w:divBdr>
    </w:div>
    <w:div w:id="1756785823">
      <w:marLeft w:val="0"/>
      <w:marRight w:val="0"/>
      <w:marTop w:val="0"/>
      <w:marBottom w:val="0"/>
      <w:divBdr>
        <w:top w:val="none" w:sz="0" w:space="0" w:color="auto"/>
        <w:left w:val="none" w:sz="0" w:space="0" w:color="auto"/>
        <w:bottom w:val="none" w:sz="0" w:space="0" w:color="auto"/>
        <w:right w:val="none" w:sz="0" w:space="0" w:color="auto"/>
      </w:divBdr>
    </w:div>
    <w:div w:id="1756785829">
      <w:marLeft w:val="0"/>
      <w:marRight w:val="0"/>
      <w:marTop w:val="0"/>
      <w:marBottom w:val="0"/>
      <w:divBdr>
        <w:top w:val="none" w:sz="0" w:space="0" w:color="auto"/>
        <w:left w:val="none" w:sz="0" w:space="0" w:color="auto"/>
        <w:bottom w:val="none" w:sz="0" w:space="0" w:color="auto"/>
        <w:right w:val="none" w:sz="0" w:space="0" w:color="auto"/>
      </w:divBdr>
    </w:div>
    <w:div w:id="1756785838">
      <w:marLeft w:val="0"/>
      <w:marRight w:val="0"/>
      <w:marTop w:val="0"/>
      <w:marBottom w:val="0"/>
      <w:divBdr>
        <w:top w:val="none" w:sz="0" w:space="0" w:color="auto"/>
        <w:left w:val="none" w:sz="0" w:space="0" w:color="auto"/>
        <w:bottom w:val="none" w:sz="0" w:space="0" w:color="auto"/>
        <w:right w:val="none" w:sz="0" w:space="0" w:color="auto"/>
      </w:divBdr>
      <w:divsChild>
        <w:div w:id="1756785880">
          <w:marLeft w:val="0"/>
          <w:marRight w:val="0"/>
          <w:marTop w:val="0"/>
          <w:marBottom w:val="0"/>
          <w:divBdr>
            <w:top w:val="none" w:sz="0" w:space="0" w:color="auto"/>
            <w:left w:val="none" w:sz="0" w:space="0" w:color="auto"/>
            <w:bottom w:val="none" w:sz="0" w:space="0" w:color="auto"/>
            <w:right w:val="none" w:sz="0" w:space="0" w:color="auto"/>
          </w:divBdr>
          <w:divsChild>
            <w:div w:id="1756785675">
              <w:marLeft w:val="0"/>
              <w:marRight w:val="0"/>
              <w:marTop w:val="0"/>
              <w:marBottom w:val="0"/>
              <w:divBdr>
                <w:top w:val="none" w:sz="0" w:space="0" w:color="auto"/>
                <w:left w:val="none" w:sz="0" w:space="0" w:color="auto"/>
                <w:bottom w:val="none" w:sz="0" w:space="0" w:color="auto"/>
                <w:right w:val="none" w:sz="0" w:space="0" w:color="auto"/>
              </w:divBdr>
            </w:div>
            <w:div w:id="175678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844">
      <w:marLeft w:val="0"/>
      <w:marRight w:val="0"/>
      <w:marTop w:val="0"/>
      <w:marBottom w:val="0"/>
      <w:divBdr>
        <w:top w:val="none" w:sz="0" w:space="0" w:color="auto"/>
        <w:left w:val="none" w:sz="0" w:space="0" w:color="auto"/>
        <w:bottom w:val="none" w:sz="0" w:space="0" w:color="auto"/>
        <w:right w:val="none" w:sz="0" w:space="0" w:color="auto"/>
      </w:divBdr>
    </w:div>
    <w:div w:id="1756785846">
      <w:marLeft w:val="0"/>
      <w:marRight w:val="0"/>
      <w:marTop w:val="0"/>
      <w:marBottom w:val="0"/>
      <w:divBdr>
        <w:top w:val="none" w:sz="0" w:space="0" w:color="auto"/>
        <w:left w:val="none" w:sz="0" w:space="0" w:color="auto"/>
        <w:bottom w:val="none" w:sz="0" w:space="0" w:color="auto"/>
        <w:right w:val="none" w:sz="0" w:space="0" w:color="auto"/>
      </w:divBdr>
    </w:div>
    <w:div w:id="1756785850">
      <w:marLeft w:val="0"/>
      <w:marRight w:val="0"/>
      <w:marTop w:val="0"/>
      <w:marBottom w:val="0"/>
      <w:divBdr>
        <w:top w:val="none" w:sz="0" w:space="0" w:color="auto"/>
        <w:left w:val="none" w:sz="0" w:space="0" w:color="auto"/>
        <w:bottom w:val="none" w:sz="0" w:space="0" w:color="auto"/>
        <w:right w:val="none" w:sz="0" w:space="0" w:color="auto"/>
      </w:divBdr>
      <w:divsChild>
        <w:div w:id="1756785708">
          <w:marLeft w:val="0"/>
          <w:marRight w:val="0"/>
          <w:marTop w:val="0"/>
          <w:marBottom w:val="0"/>
          <w:divBdr>
            <w:top w:val="none" w:sz="0" w:space="0" w:color="auto"/>
            <w:left w:val="none" w:sz="0" w:space="0" w:color="auto"/>
            <w:bottom w:val="none" w:sz="0" w:space="0" w:color="auto"/>
            <w:right w:val="none" w:sz="0" w:space="0" w:color="auto"/>
          </w:divBdr>
        </w:div>
      </w:divsChild>
    </w:div>
    <w:div w:id="1756785853">
      <w:marLeft w:val="0"/>
      <w:marRight w:val="0"/>
      <w:marTop w:val="0"/>
      <w:marBottom w:val="0"/>
      <w:divBdr>
        <w:top w:val="none" w:sz="0" w:space="0" w:color="auto"/>
        <w:left w:val="none" w:sz="0" w:space="0" w:color="auto"/>
        <w:bottom w:val="none" w:sz="0" w:space="0" w:color="auto"/>
        <w:right w:val="none" w:sz="0" w:space="0" w:color="auto"/>
      </w:divBdr>
      <w:divsChild>
        <w:div w:id="1756785949">
          <w:marLeft w:val="0"/>
          <w:marRight w:val="0"/>
          <w:marTop w:val="0"/>
          <w:marBottom w:val="0"/>
          <w:divBdr>
            <w:top w:val="none" w:sz="0" w:space="0" w:color="auto"/>
            <w:left w:val="none" w:sz="0" w:space="0" w:color="auto"/>
            <w:bottom w:val="none" w:sz="0" w:space="0" w:color="auto"/>
            <w:right w:val="none" w:sz="0" w:space="0" w:color="auto"/>
          </w:divBdr>
          <w:divsChild>
            <w:div w:id="1756785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854">
      <w:marLeft w:val="0"/>
      <w:marRight w:val="0"/>
      <w:marTop w:val="0"/>
      <w:marBottom w:val="0"/>
      <w:divBdr>
        <w:top w:val="none" w:sz="0" w:space="0" w:color="auto"/>
        <w:left w:val="none" w:sz="0" w:space="0" w:color="auto"/>
        <w:bottom w:val="none" w:sz="0" w:space="0" w:color="auto"/>
        <w:right w:val="none" w:sz="0" w:space="0" w:color="auto"/>
      </w:divBdr>
      <w:divsChild>
        <w:div w:id="1756785663">
          <w:marLeft w:val="0"/>
          <w:marRight w:val="0"/>
          <w:marTop w:val="0"/>
          <w:marBottom w:val="0"/>
          <w:divBdr>
            <w:top w:val="none" w:sz="0" w:space="0" w:color="auto"/>
            <w:left w:val="none" w:sz="0" w:space="0" w:color="auto"/>
            <w:bottom w:val="none" w:sz="0" w:space="0" w:color="auto"/>
            <w:right w:val="none" w:sz="0" w:space="0" w:color="auto"/>
          </w:divBdr>
        </w:div>
        <w:div w:id="1756785679">
          <w:marLeft w:val="0"/>
          <w:marRight w:val="0"/>
          <w:marTop w:val="0"/>
          <w:marBottom w:val="0"/>
          <w:divBdr>
            <w:top w:val="none" w:sz="0" w:space="0" w:color="auto"/>
            <w:left w:val="none" w:sz="0" w:space="0" w:color="auto"/>
            <w:bottom w:val="none" w:sz="0" w:space="0" w:color="auto"/>
            <w:right w:val="none" w:sz="0" w:space="0" w:color="auto"/>
          </w:divBdr>
        </w:div>
        <w:div w:id="1756785686">
          <w:marLeft w:val="0"/>
          <w:marRight w:val="0"/>
          <w:marTop w:val="0"/>
          <w:marBottom w:val="0"/>
          <w:divBdr>
            <w:top w:val="none" w:sz="0" w:space="0" w:color="auto"/>
            <w:left w:val="none" w:sz="0" w:space="0" w:color="auto"/>
            <w:bottom w:val="none" w:sz="0" w:space="0" w:color="auto"/>
            <w:right w:val="none" w:sz="0" w:space="0" w:color="auto"/>
          </w:divBdr>
        </w:div>
        <w:div w:id="1756785693">
          <w:marLeft w:val="0"/>
          <w:marRight w:val="0"/>
          <w:marTop w:val="0"/>
          <w:marBottom w:val="0"/>
          <w:divBdr>
            <w:top w:val="none" w:sz="0" w:space="0" w:color="auto"/>
            <w:left w:val="none" w:sz="0" w:space="0" w:color="auto"/>
            <w:bottom w:val="none" w:sz="0" w:space="0" w:color="auto"/>
            <w:right w:val="none" w:sz="0" w:space="0" w:color="auto"/>
          </w:divBdr>
        </w:div>
        <w:div w:id="1756785698">
          <w:marLeft w:val="0"/>
          <w:marRight w:val="0"/>
          <w:marTop w:val="0"/>
          <w:marBottom w:val="0"/>
          <w:divBdr>
            <w:top w:val="none" w:sz="0" w:space="0" w:color="auto"/>
            <w:left w:val="none" w:sz="0" w:space="0" w:color="auto"/>
            <w:bottom w:val="none" w:sz="0" w:space="0" w:color="auto"/>
            <w:right w:val="none" w:sz="0" w:space="0" w:color="auto"/>
          </w:divBdr>
        </w:div>
        <w:div w:id="1756785705">
          <w:marLeft w:val="0"/>
          <w:marRight w:val="0"/>
          <w:marTop w:val="0"/>
          <w:marBottom w:val="0"/>
          <w:divBdr>
            <w:top w:val="none" w:sz="0" w:space="0" w:color="auto"/>
            <w:left w:val="none" w:sz="0" w:space="0" w:color="auto"/>
            <w:bottom w:val="none" w:sz="0" w:space="0" w:color="auto"/>
            <w:right w:val="none" w:sz="0" w:space="0" w:color="auto"/>
          </w:divBdr>
        </w:div>
        <w:div w:id="1756785709">
          <w:marLeft w:val="0"/>
          <w:marRight w:val="0"/>
          <w:marTop w:val="0"/>
          <w:marBottom w:val="0"/>
          <w:divBdr>
            <w:top w:val="none" w:sz="0" w:space="0" w:color="auto"/>
            <w:left w:val="none" w:sz="0" w:space="0" w:color="auto"/>
            <w:bottom w:val="none" w:sz="0" w:space="0" w:color="auto"/>
            <w:right w:val="none" w:sz="0" w:space="0" w:color="auto"/>
          </w:divBdr>
        </w:div>
        <w:div w:id="1756785710">
          <w:marLeft w:val="0"/>
          <w:marRight w:val="0"/>
          <w:marTop w:val="0"/>
          <w:marBottom w:val="0"/>
          <w:divBdr>
            <w:top w:val="none" w:sz="0" w:space="0" w:color="auto"/>
            <w:left w:val="none" w:sz="0" w:space="0" w:color="auto"/>
            <w:bottom w:val="none" w:sz="0" w:space="0" w:color="auto"/>
            <w:right w:val="none" w:sz="0" w:space="0" w:color="auto"/>
          </w:divBdr>
        </w:div>
        <w:div w:id="1756785714">
          <w:marLeft w:val="0"/>
          <w:marRight w:val="0"/>
          <w:marTop w:val="0"/>
          <w:marBottom w:val="0"/>
          <w:divBdr>
            <w:top w:val="none" w:sz="0" w:space="0" w:color="auto"/>
            <w:left w:val="none" w:sz="0" w:space="0" w:color="auto"/>
            <w:bottom w:val="none" w:sz="0" w:space="0" w:color="auto"/>
            <w:right w:val="none" w:sz="0" w:space="0" w:color="auto"/>
          </w:divBdr>
        </w:div>
        <w:div w:id="1756785722">
          <w:marLeft w:val="0"/>
          <w:marRight w:val="0"/>
          <w:marTop w:val="0"/>
          <w:marBottom w:val="0"/>
          <w:divBdr>
            <w:top w:val="none" w:sz="0" w:space="0" w:color="auto"/>
            <w:left w:val="none" w:sz="0" w:space="0" w:color="auto"/>
            <w:bottom w:val="none" w:sz="0" w:space="0" w:color="auto"/>
            <w:right w:val="none" w:sz="0" w:space="0" w:color="auto"/>
          </w:divBdr>
        </w:div>
        <w:div w:id="1756785723">
          <w:marLeft w:val="0"/>
          <w:marRight w:val="0"/>
          <w:marTop w:val="0"/>
          <w:marBottom w:val="0"/>
          <w:divBdr>
            <w:top w:val="none" w:sz="0" w:space="0" w:color="auto"/>
            <w:left w:val="none" w:sz="0" w:space="0" w:color="auto"/>
            <w:bottom w:val="none" w:sz="0" w:space="0" w:color="auto"/>
            <w:right w:val="none" w:sz="0" w:space="0" w:color="auto"/>
          </w:divBdr>
        </w:div>
        <w:div w:id="1756785727">
          <w:marLeft w:val="0"/>
          <w:marRight w:val="0"/>
          <w:marTop w:val="0"/>
          <w:marBottom w:val="0"/>
          <w:divBdr>
            <w:top w:val="none" w:sz="0" w:space="0" w:color="auto"/>
            <w:left w:val="none" w:sz="0" w:space="0" w:color="auto"/>
            <w:bottom w:val="none" w:sz="0" w:space="0" w:color="auto"/>
            <w:right w:val="none" w:sz="0" w:space="0" w:color="auto"/>
          </w:divBdr>
        </w:div>
        <w:div w:id="1756785731">
          <w:marLeft w:val="0"/>
          <w:marRight w:val="0"/>
          <w:marTop w:val="0"/>
          <w:marBottom w:val="0"/>
          <w:divBdr>
            <w:top w:val="none" w:sz="0" w:space="0" w:color="auto"/>
            <w:left w:val="none" w:sz="0" w:space="0" w:color="auto"/>
            <w:bottom w:val="none" w:sz="0" w:space="0" w:color="auto"/>
            <w:right w:val="none" w:sz="0" w:space="0" w:color="auto"/>
          </w:divBdr>
        </w:div>
        <w:div w:id="1756785734">
          <w:marLeft w:val="0"/>
          <w:marRight w:val="0"/>
          <w:marTop w:val="0"/>
          <w:marBottom w:val="0"/>
          <w:divBdr>
            <w:top w:val="none" w:sz="0" w:space="0" w:color="auto"/>
            <w:left w:val="none" w:sz="0" w:space="0" w:color="auto"/>
            <w:bottom w:val="none" w:sz="0" w:space="0" w:color="auto"/>
            <w:right w:val="none" w:sz="0" w:space="0" w:color="auto"/>
          </w:divBdr>
        </w:div>
        <w:div w:id="1756785738">
          <w:marLeft w:val="0"/>
          <w:marRight w:val="0"/>
          <w:marTop w:val="0"/>
          <w:marBottom w:val="0"/>
          <w:divBdr>
            <w:top w:val="none" w:sz="0" w:space="0" w:color="auto"/>
            <w:left w:val="none" w:sz="0" w:space="0" w:color="auto"/>
            <w:bottom w:val="none" w:sz="0" w:space="0" w:color="auto"/>
            <w:right w:val="none" w:sz="0" w:space="0" w:color="auto"/>
          </w:divBdr>
        </w:div>
        <w:div w:id="1756785742">
          <w:marLeft w:val="0"/>
          <w:marRight w:val="0"/>
          <w:marTop w:val="0"/>
          <w:marBottom w:val="0"/>
          <w:divBdr>
            <w:top w:val="none" w:sz="0" w:space="0" w:color="auto"/>
            <w:left w:val="none" w:sz="0" w:space="0" w:color="auto"/>
            <w:bottom w:val="none" w:sz="0" w:space="0" w:color="auto"/>
            <w:right w:val="none" w:sz="0" w:space="0" w:color="auto"/>
          </w:divBdr>
        </w:div>
        <w:div w:id="1756785778">
          <w:marLeft w:val="0"/>
          <w:marRight w:val="0"/>
          <w:marTop w:val="0"/>
          <w:marBottom w:val="0"/>
          <w:divBdr>
            <w:top w:val="none" w:sz="0" w:space="0" w:color="auto"/>
            <w:left w:val="none" w:sz="0" w:space="0" w:color="auto"/>
            <w:bottom w:val="none" w:sz="0" w:space="0" w:color="auto"/>
            <w:right w:val="none" w:sz="0" w:space="0" w:color="auto"/>
          </w:divBdr>
        </w:div>
        <w:div w:id="1756785786">
          <w:marLeft w:val="0"/>
          <w:marRight w:val="0"/>
          <w:marTop w:val="0"/>
          <w:marBottom w:val="0"/>
          <w:divBdr>
            <w:top w:val="none" w:sz="0" w:space="0" w:color="auto"/>
            <w:left w:val="none" w:sz="0" w:space="0" w:color="auto"/>
            <w:bottom w:val="none" w:sz="0" w:space="0" w:color="auto"/>
            <w:right w:val="none" w:sz="0" w:space="0" w:color="auto"/>
          </w:divBdr>
        </w:div>
        <w:div w:id="1756785791">
          <w:marLeft w:val="0"/>
          <w:marRight w:val="0"/>
          <w:marTop w:val="0"/>
          <w:marBottom w:val="0"/>
          <w:divBdr>
            <w:top w:val="none" w:sz="0" w:space="0" w:color="auto"/>
            <w:left w:val="none" w:sz="0" w:space="0" w:color="auto"/>
            <w:bottom w:val="none" w:sz="0" w:space="0" w:color="auto"/>
            <w:right w:val="none" w:sz="0" w:space="0" w:color="auto"/>
          </w:divBdr>
        </w:div>
        <w:div w:id="1756785793">
          <w:marLeft w:val="0"/>
          <w:marRight w:val="0"/>
          <w:marTop w:val="0"/>
          <w:marBottom w:val="0"/>
          <w:divBdr>
            <w:top w:val="none" w:sz="0" w:space="0" w:color="auto"/>
            <w:left w:val="none" w:sz="0" w:space="0" w:color="auto"/>
            <w:bottom w:val="none" w:sz="0" w:space="0" w:color="auto"/>
            <w:right w:val="none" w:sz="0" w:space="0" w:color="auto"/>
          </w:divBdr>
        </w:div>
        <w:div w:id="1756785797">
          <w:marLeft w:val="0"/>
          <w:marRight w:val="0"/>
          <w:marTop w:val="0"/>
          <w:marBottom w:val="0"/>
          <w:divBdr>
            <w:top w:val="none" w:sz="0" w:space="0" w:color="auto"/>
            <w:left w:val="none" w:sz="0" w:space="0" w:color="auto"/>
            <w:bottom w:val="none" w:sz="0" w:space="0" w:color="auto"/>
            <w:right w:val="none" w:sz="0" w:space="0" w:color="auto"/>
          </w:divBdr>
        </w:div>
        <w:div w:id="1756785799">
          <w:marLeft w:val="0"/>
          <w:marRight w:val="0"/>
          <w:marTop w:val="0"/>
          <w:marBottom w:val="0"/>
          <w:divBdr>
            <w:top w:val="none" w:sz="0" w:space="0" w:color="auto"/>
            <w:left w:val="none" w:sz="0" w:space="0" w:color="auto"/>
            <w:bottom w:val="none" w:sz="0" w:space="0" w:color="auto"/>
            <w:right w:val="none" w:sz="0" w:space="0" w:color="auto"/>
          </w:divBdr>
        </w:div>
        <w:div w:id="1756785801">
          <w:marLeft w:val="0"/>
          <w:marRight w:val="0"/>
          <w:marTop w:val="0"/>
          <w:marBottom w:val="0"/>
          <w:divBdr>
            <w:top w:val="none" w:sz="0" w:space="0" w:color="auto"/>
            <w:left w:val="none" w:sz="0" w:space="0" w:color="auto"/>
            <w:bottom w:val="none" w:sz="0" w:space="0" w:color="auto"/>
            <w:right w:val="none" w:sz="0" w:space="0" w:color="auto"/>
          </w:divBdr>
        </w:div>
        <w:div w:id="1756785839">
          <w:marLeft w:val="0"/>
          <w:marRight w:val="0"/>
          <w:marTop w:val="0"/>
          <w:marBottom w:val="0"/>
          <w:divBdr>
            <w:top w:val="none" w:sz="0" w:space="0" w:color="auto"/>
            <w:left w:val="none" w:sz="0" w:space="0" w:color="auto"/>
            <w:bottom w:val="none" w:sz="0" w:space="0" w:color="auto"/>
            <w:right w:val="none" w:sz="0" w:space="0" w:color="auto"/>
          </w:divBdr>
        </w:div>
        <w:div w:id="1756785840">
          <w:marLeft w:val="0"/>
          <w:marRight w:val="0"/>
          <w:marTop w:val="0"/>
          <w:marBottom w:val="0"/>
          <w:divBdr>
            <w:top w:val="none" w:sz="0" w:space="0" w:color="auto"/>
            <w:left w:val="none" w:sz="0" w:space="0" w:color="auto"/>
            <w:bottom w:val="none" w:sz="0" w:space="0" w:color="auto"/>
            <w:right w:val="none" w:sz="0" w:space="0" w:color="auto"/>
          </w:divBdr>
        </w:div>
        <w:div w:id="1756785852">
          <w:marLeft w:val="0"/>
          <w:marRight w:val="0"/>
          <w:marTop w:val="0"/>
          <w:marBottom w:val="0"/>
          <w:divBdr>
            <w:top w:val="none" w:sz="0" w:space="0" w:color="auto"/>
            <w:left w:val="none" w:sz="0" w:space="0" w:color="auto"/>
            <w:bottom w:val="none" w:sz="0" w:space="0" w:color="auto"/>
            <w:right w:val="none" w:sz="0" w:space="0" w:color="auto"/>
          </w:divBdr>
        </w:div>
        <w:div w:id="1756785855">
          <w:marLeft w:val="0"/>
          <w:marRight w:val="0"/>
          <w:marTop w:val="0"/>
          <w:marBottom w:val="0"/>
          <w:divBdr>
            <w:top w:val="none" w:sz="0" w:space="0" w:color="auto"/>
            <w:left w:val="none" w:sz="0" w:space="0" w:color="auto"/>
            <w:bottom w:val="none" w:sz="0" w:space="0" w:color="auto"/>
            <w:right w:val="none" w:sz="0" w:space="0" w:color="auto"/>
          </w:divBdr>
        </w:div>
        <w:div w:id="1756785863">
          <w:marLeft w:val="0"/>
          <w:marRight w:val="0"/>
          <w:marTop w:val="0"/>
          <w:marBottom w:val="0"/>
          <w:divBdr>
            <w:top w:val="none" w:sz="0" w:space="0" w:color="auto"/>
            <w:left w:val="none" w:sz="0" w:space="0" w:color="auto"/>
            <w:bottom w:val="none" w:sz="0" w:space="0" w:color="auto"/>
            <w:right w:val="none" w:sz="0" w:space="0" w:color="auto"/>
          </w:divBdr>
        </w:div>
        <w:div w:id="1756785872">
          <w:marLeft w:val="0"/>
          <w:marRight w:val="0"/>
          <w:marTop w:val="0"/>
          <w:marBottom w:val="0"/>
          <w:divBdr>
            <w:top w:val="none" w:sz="0" w:space="0" w:color="auto"/>
            <w:left w:val="none" w:sz="0" w:space="0" w:color="auto"/>
            <w:bottom w:val="none" w:sz="0" w:space="0" w:color="auto"/>
            <w:right w:val="none" w:sz="0" w:space="0" w:color="auto"/>
          </w:divBdr>
        </w:div>
        <w:div w:id="1756785878">
          <w:marLeft w:val="0"/>
          <w:marRight w:val="0"/>
          <w:marTop w:val="0"/>
          <w:marBottom w:val="0"/>
          <w:divBdr>
            <w:top w:val="none" w:sz="0" w:space="0" w:color="auto"/>
            <w:left w:val="none" w:sz="0" w:space="0" w:color="auto"/>
            <w:bottom w:val="none" w:sz="0" w:space="0" w:color="auto"/>
            <w:right w:val="none" w:sz="0" w:space="0" w:color="auto"/>
          </w:divBdr>
        </w:div>
        <w:div w:id="1756785882">
          <w:marLeft w:val="0"/>
          <w:marRight w:val="0"/>
          <w:marTop w:val="0"/>
          <w:marBottom w:val="0"/>
          <w:divBdr>
            <w:top w:val="none" w:sz="0" w:space="0" w:color="auto"/>
            <w:left w:val="none" w:sz="0" w:space="0" w:color="auto"/>
            <w:bottom w:val="none" w:sz="0" w:space="0" w:color="auto"/>
            <w:right w:val="none" w:sz="0" w:space="0" w:color="auto"/>
          </w:divBdr>
        </w:div>
        <w:div w:id="1756785888">
          <w:marLeft w:val="0"/>
          <w:marRight w:val="0"/>
          <w:marTop w:val="0"/>
          <w:marBottom w:val="0"/>
          <w:divBdr>
            <w:top w:val="none" w:sz="0" w:space="0" w:color="auto"/>
            <w:left w:val="none" w:sz="0" w:space="0" w:color="auto"/>
            <w:bottom w:val="none" w:sz="0" w:space="0" w:color="auto"/>
            <w:right w:val="none" w:sz="0" w:space="0" w:color="auto"/>
          </w:divBdr>
        </w:div>
        <w:div w:id="1756785891">
          <w:marLeft w:val="0"/>
          <w:marRight w:val="0"/>
          <w:marTop w:val="0"/>
          <w:marBottom w:val="0"/>
          <w:divBdr>
            <w:top w:val="none" w:sz="0" w:space="0" w:color="auto"/>
            <w:left w:val="none" w:sz="0" w:space="0" w:color="auto"/>
            <w:bottom w:val="none" w:sz="0" w:space="0" w:color="auto"/>
            <w:right w:val="none" w:sz="0" w:space="0" w:color="auto"/>
          </w:divBdr>
        </w:div>
        <w:div w:id="1756785906">
          <w:marLeft w:val="0"/>
          <w:marRight w:val="0"/>
          <w:marTop w:val="0"/>
          <w:marBottom w:val="0"/>
          <w:divBdr>
            <w:top w:val="none" w:sz="0" w:space="0" w:color="auto"/>
            <w:left w:val="none" w:sz="0" w:space="0" w:color="auto"/>
            <w:bottom w:val="none" w:sz="0" w:space="0" w:color="auto"/>
            <w:right w:val="none" w:sz="0" w:space="0" w:color="auto"/>
          </w:divBdr>
        </w:div>
        <w:div w:id="1756785915">
          <w:marLeft w:val="0"/>
          <w:marRight w:val="0"/>
          <w:marTop w:val="0"/>
          <w:marBottom w:val="0"/>
          <w:divBdr>
            <w:top w:val="none" w:sz="0" w:space="0" w:color="auto"/>
            <w:left w:val="none" w:sz="0" w:space="0" w:color="auto"/>
            <w:bottom w:val="none" w:sz="0" w:space="0" w:color="auto"/>
            <w:right w:val="none" w:sz="0" w:space="0" w:color="auto"/>
          </w:divBdr>
        </w:div>
        <w:div w:id="1756785917">
          <w:marLeft w:val="0"/>
          <w:marRight w:val="0"/>
          <w:marTop w:val="0"/>
          <w:marBottom w:val="0"/>
          <w:divBdr>
            <w:top w:val="none" w:sz="0" w:space="0" w:color="auto"/>
            <w:left w:val="none" w:sz="0" w:space="0" w:color="auto"/>
            <w:bottom w:val="none" w:sz="0" w:space="0" w:color="auto"/>
            <w:right w:val="none" w:sz="0" w:space="0" w:color="auto"/>
          </w:divBdr>
        </w:div>
        <w:div w:id="1756785938">
          <w:marLeft w:val="0"/>
          <w:marRight w:val="0"/>
          <w:marTop w:val="0"/>
          <w:marBottom w:val="0"/>
          <w:divBdr>
            <w:top w:val="none" w:sz="0" w:space="0" w:color="auto"/>
            <w:left w:val="none" w:sz="0" w:space="0" w:color="auto"/>
            <w:bottom w:val="none" w:sz="0" w:space="0" w:color="auto"/>
            <w:right w:val="none" w:sz="0" w:space="0" w:color="auto"/>
          </w:divBdr>
        </w:div>
        <w:div w:id="1756785948">
          <w:marLeft w:val="0"/>
          <w:marRight w:val="0"/>
          <w:marTop w:val="0"/>
          <w:marBottom w:val="0"/>
          <w:divBdr>
            <w:top w:val="none" w:sz="0" w:space="0" w:color="auto"/>
            <w:left w:val="none" w:sz="0" w:space="0" w:color="auto"/>
            <w:bottom w:val="none" w:sz="0" w:space="0" w:color="auto"/>
            <w:right w:val="none" w:sz="0" w:space="0" w:color="auto"/>
          </w:divBdr>
        </w:div>
        <w:div w:id="1756785959">
          <w:marLeft w:val="0"/>
          <w:marRight w:val="0"/>
          <w:marTop w:val="0"/>
          <w:marBottom w:val="0"/>
          <w:divBdr>
            <w:top w:val="none" w:sz="0" w:space="0" w:color="auto"/>
            <w:left w:val="none" w:sz="0" w:space="0" w:color="auto"/>
            <w:bottom w:val="none" w:sz="0" w:space="0" w:color="auto"/>
            <w:right w:val="none" w:sz="0" w:space="0" w:color="auto"/>
          </w:divBdr>
        </w:div>
        <w:div w:id="1756785970">
          <w:marLeft w:val="0"/>
          <w:marRight w:val="0"/>
          <w:marTop w:val="0"/>
          <w:marBottom w:val="0"/>
          <w:divBdr>
            <w:top w:val="none" w:sz="0" w:space="0" w:color="auto"/>
            <w:left w:val="none" w:sz="0" w:space="0" w:color="auto"/>
            <w:bottom w:val="none" w:sz="0" w:space="0" w:color="auto"/>
            <w:right w:val="none" w:sz="0" w:space="0" w:color="auto"/>
          </w:divBdr>
        </w:div>
      </w:divsChild>
    </w:div>
    <w:div w:id="1756785857">
      <w:marLeft w:val="0"/>
      <w:marRight w:val="0"/>
      <w:marTop w:val="0"/>
      <w:marBottom w:val="0"/>
      <w:divBdr>
        <w:top w:val="none" w:sz="0" w:space="0" w:color="auto"/>
        <w:left w:val="none" w:sz="0" w:space="0" w:color="auto"/>
        <w:bottom w:val="none" w:sz="0" w:space="0" w:color="auto"/>
        <w:right w:val="none" w:sz="0" w:space="0" w:color="auto"/>
      </w:divBdr>
      <w:divsChild>
        <w:div w:id="1756785931">
          <w:marLeft w:val="0"/>
          <w:marRight w:val="0"/>
          <w:marTop w:val="0"/>
          <w:marBottom w:val="0"/>
          <w:divBdr>
            <w:top w:val="none" w:sz="0" w:space="0" w:color="auto"/>
            <w:left w:val="none" w:sz="0" w:space="0" w:color="auto"/>
            <w:bottom w:val="none" w:sz="0" w:space="0" w:color="auto"/>
            <w:right w:val="none" w:sz="0" w:space="0" w:color="auto"/>
          </w:divBdr>
          <w:divsChild>
            <w:div w:id="1756785695">
              <w:marLeft w:val="0"/>
              <w:marRight w:val="0"/>
              <w:marTop w:val="0"/>
              <w:marBottom w:val="0"/>
              <w:divBdr>
                <w:top w:val="none" w:sz="0" w:space="0" w:color="auto"/>
                <w:left w:val="none" w:sz="0" w:space="0" w:color="auto"/>
                <w:bottom w:val="none" w:sz="0" w:space="0" w:color="auto"/>
                <w:right w:val="none" w:sz="0" w:space="0" w:color="auto"/>
              </w:divBdr>
            </w:div>
            <w:div w:id="1756785717">
              <w:marLeft w:val="0"/>
              <w:marRight w:val="0"/>
              <w:marTop w:val="0"/>
              <w:marBottom w:val="0"/>
              <w:divBdr>
                <w:top w:val="none" w:sz="0" w:space="0" w:color="auto"/>
                <w:left w:val="none" w:sz="0" w:space="0" w:color="auto"/>
                <w:bottom w:val="none" w:sz="0" w:space="0" w:color="auto"/>
                <w:right w:val="none" w:sz="0" w:space="0" w:color="auto"/>
              </w:divBdr>
            </w:div>
            <w:div w:id="1756785726">
              <w:marLeft w:val="0"/>
              <w:marRight w:val="0"/>
              <w:marTop w:val="0"/>
              <w:marBottom w:val="0"/>
              <w:divBdr>
                <w:top w:val="none" w:sz="0" w:space="0" w:color="auto"/>
                <w:left w:val="none" w:sz="0" w:space="0" w:color="auto"/>
                <w:bottom w:val="none" w:sz="0" w:space="0" w:color="auto"/>
                <w:right w:val="none" w:sz="0" w:space="0" w:color="auto"/>
              </w:divBdr>
            </w:div>
            <w:div w:id="1756785750">
              <w:marLeft w:val="0"/>
              <w:marRight w:val="0"/>
              <w:marTop w:val="0"/>
              <w:marBottom w:val="0"/>
              <w:divBdr>
                <w:top w:val="none" w:sz="0" w:space="0" w:color="auto"/>
                <w:left w:val="none" w:sz="0" w:space="0" w:color="auto"/>
                <w:bottom w:val="none" w:sz="0" w:space="0" w:color="auto"/>
                <w:right w:val="none" w:sz="0" w:space="0" w:color="auto"/>
              </w:divBdr>
            </w:div>
            <w:div w:id="175678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859">
      <w:marLeft w:val="0"/>
      <w:marRight w:val="0"/>
      <w:marTop w:val="0"/>
      <w:marBottom w:val="0"/>
      <w:divBdr>
        <w:top w:val="none" w:sz="0" w:space="0" w:color="auto"/>
        <w:left w:val="none" w:sz="0" w:space="0" w:color="auto"/>
        <w:bottom w:val="none" w:sz="0" w:space="0" w:color="auto"/>
        <w:right w:val="none" w:sz="0" w:space="0" w:color="auto"/>
      </w:divBdr>
      <w:divsChild>
        <w:div w:id="1756785669">
          <w:marLeft w:val="0"/>
          <w:marRight w:val="0"/>
          <w:marTop w:val="0"/>
          <w:marBottom w:val="0"/>
          <w:divBdr>
            <w:top w:val="none" w:sz="0" w:space="0" w:color="auto"/>
            <w:left w:val="none" w:sz="0" w:space="0" w:color="auto"/>
            <w:bottom w:val="none" w:sz="0" w:space="0" w:color="auto"/>
            <w:right w:val="none" w:sz="0" w:space="0" w:color="auto"/>
          </w:divBdr>
        </w:div>
        <w:div w:id="1756785670">
          <w:marLeft w:val="0"/>
          <w:marRight w:val="0"/>
          <w:marTop w:val="0"/>
          <w:marBottom w:val="0"/>
          <w:divBdr>
            <w:top w:val="none" w:sz="0" w:space="0" w:color="auto"/>
            <w:left w:val="none" w:sz="0" w:space="0" w:color="auto"/>
            <w:bottom w:val="none" w:sz="0" w:space="0" w:color="auto"/>
            <w:right w:val="none" w:sz="0" w:space="0" w:color="auto"/>
          </w:divBdr>
        </w:div>
        <w:div w:id="1756785687">
          <w:marLeft w:val="0"/>
          <w:marRight w:val="0"/>
          <w:marTop w:val="0"/>
          <w:marBottom w:val="0"/>
          <w:divBdr>
            <w:top w:val="none" w:sz="0" w:space="0" w:color="auto"/>
            <w:left w:val="none" w:sz="0" w:space="0" w:color="auto"/>
            <w:bottom w:val="none" w:sz="0" w:space="0" w:color="auto"/>
            <w:right w:val="none" w:sz="0" w:space="0" w:color="auto"/>
          </w:divBdr>
        </w:div>
        <w:div w:id="1756785694">
          <w:marLeft w:val="0"/>
          <w:marRight w:val="0"/>
          <w:marTop w:val="0"/>
          <w:marBottom w:val="0"/>
          <w:divBdr>
            <w:top w:val="none" w:sz="0" w:space="0" w:color="auto"/>
            <w:left w:val="none" w:sz="0" w:space="0" w:color="auto"/>
            <w:bottom w:val="none" w:sz="0" w:space="0" w:color="auto"/>
            <w:right w:val="none" w:sz="0" w:space="0" w:color="auto"/>
          </w:divBdr>
        </w:div>
        <w:div w:id="1756785697">
          <w:marLeft w:val="0"/>
          <w:marRight w:val="0"/>
          <w:marTop w:val="0"/>
          <w:marBottom w:val="0"/>
          <w:divBdr>
            <w:top w:val="none" w:sz="0" w:space="0" w:color="auto"/>
            <w:left w:val="none" w:sz="0" w:space="0" w:color="auto"/>
            <w:bottom w:val="none" w:sz="0" w:space="0" w:color="auto"/>
            <w:right w:val="none" w:sz="0" w:space="0" w:color="auto"/>
          </w:divBdr>
        </w:div>
        <w:div w:id="1756785741">
          <w:marLeft w:val="0"/>
          <w:marRight w:val="0"/>
          <w:marTop w:val="0"/>
          <w:marBottom w:val="0"/>
          <w:divBdr>
            <w:top w:val="none" w:sz="0" w:space="0" w:color="auto"/>
            <w:left w:val="none" w:sz="0" w:space="0" w:color="auto"/>
            <w:bottom w:val="none" w:sz="0" w:space="0" w:color="auto"/>
            <w:right w:val="none" w:sz="0" w:space="0" w:color="auto"/>
          </w:divBdr>
        </w:div>
        <w:div w:id="1756785766">
          <w:marLeft w:val="0"/>
          <w:marRight w:val="0"/>
          <w:marTop w:val="0"/>
          <w:marBottom w:val="0"/>
          <w:divBdr>
            <w:top w:val="none" w:sz="0" w:space="0" w:color="auto"/>
            <w:left w:val="none" w:sz="0" w:space="0" w:color="auto"/>
            <w:bottom w:val="none" w:sz="0" w:space="0" w:color="auto"/>
            <w:right w:val="none" w:sz="0" w:space="0" w:color="auto"/>
          </w:divBdr>
        </w:div>
        <w:div w:id="1756785781">
          <w:marLeft w:val="0"/>
          <w:marRight w:val="0"/>
          <w:marTop w:val="0"/>
          <w:marBottom w:val="0"/>
          <w:divBdr>
            <w:top w:val="none" w:sz="0" w:space="0" w:color="auto"/>
            <w:left w:val="none" w:sz="0" w:space="0" w:color="auto"/>
            <w:bottom w:val="none" w:sz="0" w:space="0" w:color="auto"/>
            <w:right w:val="none" w:sz="0" w:space="0" w:color="auto"/>
          </w:divBdr>
        </w:div>
        <w:div w:id="1756785783">
          <w:marLeft w:val="0"/>
          <w:marRight w:val="0"/>
          <w:marTop w:val="0"/>
          <w:marBottom w:val="0"/>
          <w:divBdr>
            <w:top w:val="none" w:sz="0" w:space="0" w:color="auto"/>
            <w:left w:val="none" w:sz="0" w:space="0" w:color="auto"/>
            <w:bottom w:val="none" w:sz="0" w:space="0" w:color="auto"/>
            <w:right w:val="none" w:sz="0" w:space="0" w:color="auto"/>
          </w:divBdr>
        </w:div>
        <w:div w:id="1756785809">
          <w:marLeft w:val="0"/>
          <w:marRight w:val="0"/>
          <w:marTop w:val="0"/>
          <w:marBottom w:val="0"/>
          <w:divBdr>
            <w:top w:val="none" w:sz="0" w:space="0" w:color="auto"/>
            <w:left w:val="none" w:sz="0" w:space="0" w:color="auto"/>
            <w:bottom w:val="none" w:sz="0" w:space="0" w:color="auto"/>
            <w:right w:val="none" w:sz="0" w:space="0" w:color="auto"/>
          </w:divBdr>
        </w:div>
        <w:div w:id="1756785837">
          <w:marLeft w:val="0"/>
          <w:marRight w:val="0"/>
          <w:marTop w:val="0"/>
          <w:marBottom w:val="0"/>
          <w:divBdr>
            <w:top w:val="none" w:sz="0" w:space="0" w:color="auto"/>
            <w:left w:val="none" w:sz="0" w:space="0" w:color="auto"/>
            <w:bottom w:val="none" w:sz="0" w:space="0" w:color="auto"/>
            <w:right w:val="none" w:sz="0" w:space="0" w:color="auto"/>
          </w:divBdr>
        </w:div>
        <w:div w:id="1756785886">
          <w:marLeft w:val="0"/>
          <w:marRight w:val="0"/>
          <w:marTop w:val="0"/>
          <w:marBottom w:val="0"/>
          <w:divBdr>
            <w:top w:val="none" w:sz="0" w:space="0" w:color="auto"/>
            <w:left w:val="none" w:sz="0" w:space="0" w:color="auto"/>
            <w:bottom w:val="none" w:sz="0" w:space="0" w:color="auto"/>
            <w:right w:val="none" w:sz="0" w:space="0" w:color="auto"/>
          </w:divBdr>
        </w:div>
        <w:div w:id="1756785899">
          <w:marLeft w:val="0"/>
          <w:marRight w:val="0"/>
          <w:marTop w:val="0"/>
          <w:marBottom w:val="0"/>
          <w:divBdr>
            <w:top w:val="none" w:sz="0" w:space="0" w:color="auto"/>
            <w:left w:val="none" w:sz="0" w:space="0" w:color="auto"/>
            <w:bottom w:val="none" w:sz="0" w:space="0" w:color="auto"/>
            <w:right w:val="none" w:sz="0" w:space="0" w:color="auto"/>
          </w:divBdr>
        </w:div>
        <w:div w:id="1756785905">
          <w:marLeft w:val="0"/>
          <w:marRight w:val="0"/>
          <w:marTop w:val="0"/>
          <w:marBottom w:val="0"/>
          <w:divBdr>
            <w:top w:val="none" w:sz="0" w:space="0" w:color="auto"/>
            <w:left w:val="none" w:sz="0" w:space="0" w:color="auto"/>
            <w:bottom w:val="none" w:sz="0" w:space="0" w:color="auto"/>
            <w:right w:val="none" w:sz="0" w:space="0" w:color="auto"/>
          </w:divBdr>
        </w:div>
        <w:div w:id="1756785935">
          <w:marLeft w:val="0"/>
          <w:marRight w:val="0"/>
          <w:marTop w:val="0"/>
          <w:marBottom w:val="0"/>
          <w:divBdr>
            <w:top w:val="none" w:sz="0" w:space="0" w:color="auto"/>
            <w:left w:val="none" w:sz="0" w:space="0" w:color="auto"/>
            <w:bottom w:val="none" w:sz="0" w:space="0" w:color="auto"/>
            <w:right w:val="none" w:sz="0" w:space="0" w:color="auto"/>
          </w:divBdr>
        </w:div>
        <w:div w:id="1756785937">
          <w:marLeft w:val="0"/>
          <w:marRight w:val="0"/>
          <w:marTop w:val="0"/>
          <w:marBottom w:val="0"/>
          <w:divBdr>
            <w:top w:val="none" w:sz="0" w:space="0" w:color="auto"/>
            <w:left w:val="none" w:sz="0" w:space="0" w:color="auto"/>
            <w:bottom w:val="none" w:sz="0" w:space="0" w:color="auto"/>
            <w:right w:val="none" w:sz="0" w:space="0" w:color="auto"/>
          </w:divBdr>
        </w:div>
        <w:div w:id="1756785940">
          <w:marLeft w:val="0"/>
          <w:marRight w:val="0"/>
          <w:marTop w:val="0"/>
          <w:marBottom w:val="0"/>
          <w:divBdr>
            <w:top w:val="none" w:sz="0" w:space="0" w:color="auto"/>
            <w:left w:val="none" w:sz="0" w:space="0" w:color="auto"/>
            <w:bottom w:val="none" w:sz="0" w:space="0" w:color="auto"/>
            <w:right w:val="none" w:sz="0" w:space="0" w:color="auto"/>
          </w:divBdr>
        </w:div>
        <w:div w:id="1756785953">
          <w:marLeft w:val="0"/>
          <w:marRight w:val="0"/>
          <w:marTop w:val="0"/>
          <w:marBottom w:val="0"/>
          <w:divBdr>
            <w:top w:val="none" w:sz="0" w:space="0" w:color="auto"/>
            <w:left w:val="none" w:sz="0" w:space="0" w:color="auto"/>
            <w:bottom w:val="none" w:sz="0" w:space="0" w:color="auto"/>
            <w:right w:val="none" w:sz="0" w:space="0" w:color="auto"/>
          </w:divBdr>
        </w:div>
      </w:divsChild>
    </w:div>
    <w:div w:id="1756785866">
      <w:marLeft w:val="0"/>
      <w:marRight w:val="0"/>
      <w:marTop w:val="0"/>
      <w:marBottom w:val="0"/>
      <w:divBdr>
        <w:top w:val="none" w:sz="0" w:space="0" w:color="auto"/>
        <w:left w:val="none" w:sz="0" w:space="0" w:color="auto"/>
        <w:bottom w:val="none" w:sz="0" w:space="0" w:color="auto"/>
        <w:right w:val="none" w:sz="0" w:space="0" w:color="auto"/>
      </w:divBdr>
    </w:div>
    <w:div w:id="1756785867">
      <w:marLeft w:val="0"/>
      <w:marRight w:val="0"/>
      <w:marTop w:val="0"/>
      <w:marBottom w:val="0"/>
      <w:divBdr>
        <w:top w:val="none" w:sz="0" w:space="0" w:color="auto"/>
        <w:left w:val="none" w:sz="0" w:space="0" w:color="auto"/>
        <w:bottom w:val="none" w:sz="0" w:space="0" w:color="auto"/>
        <w:right w:val="none" w:sz="0" w:space="0" w:color="auto"/>
      </w:divBdr>
      <w:divsChild>
        <w:div w:id="1756785827">
          <w:marLeft w:val="0"/>
          <w:marRight w:val="0"/>
          <w:marTop w:val="0"/>
          <w:marBottom w:val="0"/>
          <w:divBdr>
            <w:top w:val="none" w:sz="0" w:space="0" w:color="auto"/>
            <w:left w:val="none" w:sz="0" w:space="0" w:color="auto"/>
            <w:bottom w:val="none" w:sz="0" w:space="0" w:color="auto"/>
            <w:right w:val="none" w:sz="0" w:space="0" w:color="auto"/>
          </w:divBdr>
        </w:div>
      </w:divsChild>
    </w:div>
    <w:div w:id="1756785870">
      <w:marLeft w:val="0"/>
      <w:marRight w:val="0"/>
      <w:marTop w:val="0"/>
      <w:marBottom w:val="0"/>
      <w:divBdr>
        <w:top w:val="none" w:sz="0" w:space="0" w:color="auto"/>
        <w:left w:val="none" w:sz="0" w:space="0" w:color="auto"/>
        <w:bottom w:val="none" w:sz="0" w:space="0" w:color="auto"/>
        <w:right w:val="none" w:sz="0" w:space="0" w:color="auto"/>
      </w:divBdr>
      <w:divsChild>
        <w:div w:id="1756785814">
          <w:marLeft w:val="0"/>
          <w:marRight w:val="0"/>
          <w:marTop w:val="0"/>
          <w:marBottom w:val="0"/>
          <w:divBdr>
            <w:top w:val="none" w:sz="0" w:space="0" w:color="auto"/>
            <w:left w:val="none" w:sz="0" w:space="0" w:color="auto"/>
            <w:bottom w:val="none" w:sz="0" w:space="0" w:color="auto"/>
            <w:right w:val="none" w:sz="0" w:space="0" w:color="auto"/>
          </w:divBdr>
        </w:div>
      </w:divsChild>
    </w:div>
    <w:div w:id="1756785873">
      <w:marLeft w:val="0"/>
      <w:marRight w:val="0"/>
      <w:marTop w:val="0"/>
      <w:marBottom w:val="0"/>
      <w:divBdr>
        <w:top w:val="none" w:sz="0" w:space="0" w:color="auto"/>
        <w:left w:val="none" w:sz="0" w:space="0" w:color="auto"/>
        <w:bottom w:val="none" w:sz="0" w:space="0" w:color="auto"/>
        <w:right w:val="none" w:sz="0" w:space="0" w:color="auto"/>
      </w:divBdr>
      <w:divsChild>
        <w:div w:id="1756785711">
          <w:marLeft w:val="0"/>
          <w:marRight w:val="0"/>
          <w:marTop w:val="0"/>
          <w:marBottom w:val="0"/>
          <w:divBdr>
            <w:top w:val="none" w:sz="0" w:space="0" w:color="auto"/>
            <w:left w:val="none" w:sz="0" w:space="0" w:color="auto"/>
            <w:bottom w:val="none" w:sz="0" w:space="0" w:color="auto"/>
            <w:right w:val="none" w:sz="0" w:space="0" w:color="auto"/>
          </w:divBdr>
          <w:divsChild>
            <w:div w:id="175678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885">
      <w:marLeft w:val="0"/>
      <w:marRight w:val="0"/>
      <w:marTop w:val="0"/>
      <w:marBottom w:val="0"/>
      <w:divBdr>
        <w:top w:val="none" w:sz="0" w:space="0" w:color="auto"/>
        <w:left w:val="none" w:sz="0" w:space="0" w:color="auto"/>
        <w:bottom w:val="none" w:sz="0" w:space="0" w:color="auto"/>
        <w:right w:val="none" w:sz="0" w:space="0" w:color="auto"/>
      </w:divBdr>
      <w:divsChild>
        <w:div w:id="1756785933">
          <w:marLeft w:val="0"/>
          <w:marRight w:val="0"/>
          <w:marTop w:val="0"/>
          <w:marBottom w:val="0"/>
          <w:divBdr>
            <w:top w:val="none" w:sz="0" w:space="0" w:color="auto"/>
            <w:left w:val="none" w:sz="0" w:space="0" w:color="auto"/>
            <w:bottom w:val="none" w:sz="0" w:space="0" w:color="auto"/>
            <w:right w:val="none" w:sz="0" w:space="0" w:color="auto"/>
          </w:divBdr>
        </w:div>
      </w:divsChild>
    </w:div>
    <w:div w:id="1756785892">
      <w:marLeft w:val="0"/>
      <w:marRight w:val="0"/>
      <w:marTop w:val="0"/>
      <w:marBottom w:val="0"/>
      <w:divBdr>
        <w:top w:val="none" w:sz="0" w:space="0" w:color="auto"/>
        <w:left w:val="none" w:sz="0" w:space="0" w:color="auto"/>
        <w:bottom w:val="none" w:sz="0" w:space="0" w:color="auto"/>
        <w:right w:val="none" w:sz="0" w:space="0" w:color="auto"/>
      </w:divBdr>
      <w:divsChild>
        <w:div w:id="1756785747">
          <w:marLeft w:val="0"/>
          <w:marRight w:val="0"/>
          <w:marTop w:val="0"/>
          <w:marBottom w:val="0"/>
          <w:divBdr>
            <w:top w:val="none" w:sz="0" w:space="0" w:color="auto"/>
            <w:left w:val="none" w:sz="0" w:space="0" w:color="auto"/>
            <w:bottom w:val="none" w:sz="0" w:space="0" w:color="auto"/>
            <w:right w:val="none" w:sz="0" w:space="0" w:color="auto"/>
          </w:divBdr>
          <w:divsChild>
            <w:div w:id="1756785688">
              <w:marLeft w:val="0"/>
              <w:marRight w:val="0"/>
              <w:marTop w:val="0"/>
              <w:marBottom w:val="0"/>
              <w:divBdr>
                <w:top w:val="none" w:sz="0" w:space="0" w:color="auto"/>
                <w:left w:val="none" w:sz="0" w:space="0" w:color="auto"/>
                <w:bottom w:val="none" w:sz="0" w:space="0" w:color="auto"/>
                <w:right w:val="none" w:sz="0" w:space="0" w:color="auto"/>
              </w:divBdr>
            </w:div>
            <w:div w:id="1756785825">
              <w:marLeft w:val="0"/>
              <w:marRight w:val="0"/>
              <w:marTop w:val="0"/>
              <w:marBottom w:val="0"/>
              <w:divBdr>
                <w:top w:val="none" w:sz="0" w:space="0" w:color="auto"/>
                <w:left w:val="none" w:sz="0" w:space="0" w:color="auto"/>
                <w:bottom w:val="none" w:sz="0" w:space="0" w:color="auto"/>
                <w:right w:val="none" w:sz="0" w:space="0" w:color="auto"/>
              </w:divBdr>
            </w:div>
            <w:div w:id="175678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898">
      <w:marLeft w:val="0"/>
      <w:marRight w:val="0"/>
      <w:marTop w:val="0"/>
      <w:marBottom w:val="0"/>
      <w:divBdr>
        <w:top w:val="none" w:sz="0" w:space="0" w:color="auto"/>
        <w:left w:val="none" w:sz="0" w:space="0" w:color="auto"/>
        <w:bottom w:val="none" w:sz="0" w:space="0" w:color="auto"/>
        <w:right w:val="none" w:sz="0" w:space="0" w:color="auto"/>
      </w:divBdr>
      <w:divsChild>
        <w:div w:id="1756785868">
          <w:marLeft w:val="0"/>
          <w:marRight w:val="0"/>
          <w:marTop w:val="0"/>
          <w:marBottom w:val="0"/>
          <w:divBdr>
            <w:top w:val="none" w:sz="0" w:space="0" w:color="auto"/>
            <w:left w:val="none" w:sz="0" w:space="0" w:color="auto"/>
            <w:bottom w:val="none" w:sz="0" w:space="0" w:color="auto"/>
            <w:right w:val="none" w:sz="0" w:space="0" w:color="auto"/>
          </w:divBdr>
          <w:divsChild>
            <w:div w:id="1756785677">
              <w:marLeft w:val="0"/>
              <w:marRight w:val="0"/>
              <w:marTop w:val="0"/>
              <w:marBottom w:val="0"/>
              <w:divBdr>
                <w:top w:val="none" w:sz="0" w:space="0" w:color="auto"/>
                <w:left w:val="none" w:sz="0" w:space="0" w:color="auto"/>
                <w:bottom w:val="none" w:sz="0" w:space="0" w:color="auto"/>
                <w:right w:val="none" w:sz="0" w:space="0" w:color="auto"/>
              </w:divBdr>
            </w:div>
            <w:div w:id="1756785685">
              <w:marLeft w:val="0"/>
              <w:marRight w:val="0"/>
              <w:marTop w:val="0"/>
              <w:marBottom w:val="0"/>
              <w:divBdr>
                <w:top w:val="none" w:sz="0" w:space="0" w:color="auto"/>
                <w:left w:val="none" w:sz="0" w:space="0" w:color="auto"/>
                <w:bottom w:val="none" w:sz="0" w:space="0" w:color="auto"/>
                <w:right w:val="none" w:sz="0" w:space="0" w:color="auto"/>
              </w:divBdr>
            </w:div>
            <w:div w:id="1756785690">
              <w:marLeft w:val="0"/>
              <w:marRight w:val="0"/>
              <w:marTop w:val="0"/>
              <w:marBottom w:val="0"/>
              <w:divBdr>
                <w:top w:val="none" w:sz="0" w:space="0" w:color="auto"/>
                <w:left w:val="none" w:sz="0" w:space="0" w:color="auto"/>
                <w:bottom w:val="none" w:sz="0" w:space="0" w:color="auto"/>
                <w:right w:val="none" w:sz="0" w:space="0" w:color="auto"/>
              </w:divBdr>
            </w:div>
            <w:div w:id="1756785735">
              <w:marLeft w:val="0"/>
              <w:marRight w:val="0"/>
              <w:marTop w:val="0"/>
              <w:marBottom w:val="0"/>
              <w:divBdr>
                <w:top w:val="none" w:sz="0" w:space="0" w:color="auto"/>
                <w:left w:val="none" w:sz="0" w:space="0" w:color="auto"/>
                <w:bottom w:val="none" w:sz="0" w:space="0" w:color="auto"/>
                <w:right w:val="none" w:sz="0" w:space="0" w:color="auto"/>
              </w:divBdr>
            </w:div>
            <w:div w:id="1756785739">
              <w:marLeft w:val="0"/>
              <w:marRight w:val="0"/>
              <w:marTop w:val="0"/>
              <w:marBottom w:val="0"/>
              <w:divBdr>
                <w:top w:val="none" w:sz="0" w:space="0" w:color="auto"/>
                <w:left w:val="none" w:sz="0" w:space="0" w:color="auto"/>
                <w:bottom w:val="none" w:sz="0" w:space="0" w:color="auto"/>
                <w:right w:val="none" w:sz="0" w:space="0" w:color="auto"/>
              </w:divBdr>
            </w:div>
            <w:div w:id="1756785815">
              <w:marLeft w:val="0"/>
              <w:marRight w:val="0"/>
              <w:marTop w:val="0"/>
              <w:marBottom w:val="0"/>
              <w:divBdr>
                <w:top w:val="none" w:sz="0" w:space="0" w:color="auto"/>
                <w:left w:val="none" w:sz="0" w:space="0" w:color="auto"/>
                <w:bottom w:val="none" w:sz="0" w:space="0" w:color="auto"/>
                <w:right w:val="none" w:sz="0" w:space="0" w:color="auto"/>
              </w:divBdr>
            </w:div>
            <w:div w:id="1756785860">
              <w:marLeft w:val="0"/>
              <w:marRight w:val="0"/>
              <w:marTop w:val="0"/>
              <w:marBottom w:val="0"/>
              <w:divBdr>
                <w:top w:val="none" w:sz="0" w:space="0" w:color="auto"/>
                <w:left w:val="none" w:sz="0" w:space="0" w:color="auto"/>
                <w:bottom w:val="none" w:sz="0" w:space="0" w:color="auto"/>
                <w:right w:val="none" w:sz="0" w:space="0" w:color="auto"/>
              </w:divBdr>
            </w:div>
            <w:div w:id="1756785861">
              <w:marLeft w:val="0"/>
              <w:marRight w:val="0"/>
              <w:marTop w:val="0"/>
              <w:marBottom w:val="0"/>
              <w:divBdr>
                <w:top w:val="none" w:sz="0" w:space="0" w:color="auto"/>
                <w:left w:val="none" w:sz="0" w:space="0" w:color="auto"/>
                <w:bottom w:val="none" w:sz="0" w:space="0" w:color="auto"/>
                <w:right w:val="none" w:sz="0" w:space="0" w:color="auto"/>
              </w:divBdr>
            </w:div>
            <w:div w:id="1756785900">
              <w:marLeft w:val="0"/>
              <w:marRight w:val="0"/>
              <w:marTop w:val="0"/>
              <w:marBottom w:val="0"/>
              <w:divBdr>
                <w:top w:val="none" w:sz="0" w:space="0" w:color="auto"/>
                <w:left w:val="none" w:sz="0" w:space="0" w:color="auto"/>
                <w:bottom w:val="none" w:sz="0" w:space="0" w:color="auto"/>
                <w:right w:val="none" w:sz="0" w:space="0" w:color="auto"/>
              </w:divBdr>
            </w:div>
            <w:div w:id="1756785904">
              <w:marLeft w:val="0"/>
              <w:marRight w:val="0"/>
              <w:marTop w:val="0"/>
              <w:marBottom w:val="0"/>
              <w:divBdr>
                <w:top w:val="none" w:sz="0" w:space="0" w:color="auto"/>
                <w:left w:val="none" w:sz="0" w:space="0" w:color="auto"/>
                <w:bottom w:val="none" w:sz="0" w:space="0" w:color="auto"/>
                <w:right w:val="none" w:sz="0" w:space="0" w:color="auto"/>
              </w:divBdr>
            </w:div>
            <w:div w:id="1756785936">
              <w:marLeft w:val="0"/>
              <w:marRight w:val="0"/>
              <w:marTop w:val="0"/>
              <w:marBottom w:val="0"/>
              <w:divBdr>
                <w:top w:val="none" w:sz="0" w:space="0" w:color="auto"/>
                <w:left w:val="none" w:sz="0" w:space="0" w:color="auto"/>
                <w:bottom w:val="none" w:sz="0" w:space="0" w:color="auto"/>
                <w:right w:val="none" w:sz="0" w:space="0" w:color="auto"/>
              </w:divBdr>
            </w:div>
            <w:div w:id="175678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902">
      <w:marLeft w:val="0"/>
      <w:marRight w:val="0"/>
      <w:marTop w:val="0"/>
      <w:marBottom w:val="0"/>
      <w:divBdr>
        <w:top w:val="none" w:sz="0" w:space="0" w:color="auto"/>
        <w:left w:val="none" w:sz="0" w:space="0" w:color="auto"/>
        <w:bottom w:val="none" w:sz="0" w:space="0" w:color="auto"/>
        <w:right w:val="none" w:sz="0" w:space="0" w:color="auto"/>
      </w:divBdr>
    </w:div>
    <w:div w:id="1756785903">
      <w:marLeft w:val="0"/>
      <w:marRight w:val="0"/>
      <w:marTop w:val="0"/>
      <w:marBottom w:val="0"/>
      <w:divBdr>
        <w:top w:val="none" w:sz="0" w:space="0" w:color="auto"/>
        <w:left w:val="none" w:sz="0" w:space="0" w:color="auto"/>
        <w:bottom w:val="none" w:sz="0" w:space="0" w:color="auto"/>
        <w:right w:val="none" w:sz="0" w:space="0" w:color="auto"/>
      </w:divBdr>
    </w:div>
    <w:div w:id="1756785913">
      <w:marLeft w:val="0"/>
      <w:marRight w:val="0"/>
      <w:marTop w:val="0"/>
      <w:marBottom w:val="0"/>
      <w:divBdr>
        <w:top w:val="none" w:sz="0" w:space="0" w:color="auto"/>
        <w:left w:val="none" w:sz="0" w:space="0" w:color="auto"/>
        <w:bottom w:val="none" w:sz="0" w:space="0" w:color="auto"/>
        <w:right w:val="none" w:sz="0" w:space="0" w:color="auto"/>
      </w:divBdr>
    </w:div>
    <w:div w:id="1756785925">
      <w:marLeft w:val="0"/>
      <w:marRight w:val="0"/>
      <w:marTop w:val="0"/>
      <w:marBottom w:val="0"/>
      <w:divBdr>
        <w:top w:val="none" w:sz="0" w:space="0" w:color="auto"/>
        <w:left w:val="none" w:sz="0" w:space="0" w:color="auto"/>
        <w:bottom w:val="none" w:sz="0" w:space="0" w:color="auto"/>
        <w:right w:val="none" w:sz="0" w:space="0" w:color="auto"/>
      </w:divBdr>
    </w:div>
    <w:div w:id="1756785926">
      <w:marLeft w:val="0"/>
      <w:marRight w:val="0"/>
      <w:marTop w:val="0"/>
      <w:marBottom w:val="0"/>
      <w:divBdr>
        <w:top w:val="none" w:sz="0" w:space="0" w:color="auto"/>
        <w:left w:val="none" w:sz="0" w:space="0" w:color="auto"/>
        <w:bottom w:val="none" w:sz="0" w:space="0" w:color="auto"/>
        <w:right w:val="none" w:sz="0" w:space="0" w:color="auto"/>
      </w:divBdr>
      <w:divsChild>
        <w:div w:id="1756785680">
          <w:marLeft w:val="0"/>
          <w:marRight w:val="0"/>
          <w:marTop w:val="0"/>
          <w:marBottom w:val="0"/>
          <w:divBdr>
            <w:top w:val="none" w:sz="0" w:space="0" w:color="auto"/>
            <w:left w:val="none" w:sz="0" w:space="0" w:color="auto"/>
            <w:bottom w:val="none" w:sz="0" w:space="0" w:color="auto"/>
            <w:right w:val="none" w:sz="0" w:space="0" w:color="auto"/>
          </w:divBdr>
        </w:div>
        <w:div w:id="1756785716">
          <w:marLeft w:val="0"/>
          <w:marRight w:val="0"/>
          <w:marTop w:val="0"/>
          <w:marBottom w:val="0"/>
          <w:divBdr>
            <w:top w:val="none" w:sz="0" w:space="0" w:color="auto"/>
            <w:left w:val="none" w:sz="0" w:space="0" w:color="auto"/>
            <w:bottom w:val="none" w:sz="0" w:space="0" w:color="auto"/>
            <w:right w:val="none" w:sz="0" w:space="0" w:color="auto"/>
          </w:divBdr>
        </w:div>
        <w:div w:id="1756785733">
          <w:marLeft w:val="0"/>
          <w:marRight w:val="0"/>
          <w:marTop w:val="0"/>
          <w:marBottom w:val="0"/>
          <w:divBdr>
            <w:top w:val="none" w:sz="0" w:space="0" w:color="auto"/>
            <w:left w:val="none" w:sz="0" w:space="0" w:color="auto"/>
            <w:bottom w:val="none" w:sz="0" w:space="0" w:color="auto"/>
            <w:right w:val="none" w:sz="0" w:space="0" w:color="auto"/>
          </w:divBdr>
        </w:div>
        <w:div w:id="1756785751">
          <w:marLeft w:val="0"/>
          <w:marRight w:val="0"/>
          <w:marTop w:val="0"/>
          <w:marBottom w:val="0"/>
          <w:divBdr>
            <w:top w:val="none" w:sz="0" w:space="0" w:color="auto"/>
            <w:left w:val="none" w:sz="0" w:space="0" w:color="auto"/>
            <w:bottom w:val="none" w:sz="0" w:space="0" w:color="auto"/>
            <w:right w:val="none" w:sz="0" w:space="0" w:color="auto"/>
          </w:divBdr>
        </w:div>
        <w:div w:id="1756785897">
          <w:marLeft w:val="0"/>
          <w:marRight w:val="0"/>
          <w:marTop w:val="0"/>
          <w:marBottom w:val="0"/>
          <w:divBdr>
            <w:top w:val="none" w:sz="0" w:space="0" w:color="auto"/>
            <w:left w:val="none" w:sz="0" w:space="0" w:color="auto"/>
            <w:bottom w:val="none" w:sz="0" w:space="0" w:color="auto"/>
            <w:right w:val="none" w:sz="0" w:space="0" w:color="auto"/>
          </w:divBdr>
        </w:div>
        <w:div w:id="1756785918">
          <w:marLeft w:val="0"/>
          <w:marRight w:val="0"/>
          <w:marTop w:val="0"/>
          <w:marBottom w:val="0"/>
          <w:divBdr>
            <w:top w:val="none" w:sz="0" w:space="0" w:color="auto"/>
            <w:left w:val="none" w:sz="0" w:space="0" w:color="auto"/>
            <w:bottom w:val="none" w:sz="0" w:space="0" w:color="auto"/>
            <w:right w:val="none" w:sz="0" w:space="0" w:color="auto"/>
          </w:divBdr>
        </w:div>
        <w:div w:id="1756785942">
          <w:marLeft w:val="0"/>
          <w:marRight w:val="0"/>
          <w:marTop w:val="0"/>
          <w:marBottom w:val="0"/>
          <w:divBdr>
            <w:top w:val="none" w:sz="0" w:space="0" w:color="auto"/>
            <w:left w:val="none" w:sz="0" w:space="0" w:color="auto"/>
            <w:bottom w:val="none" w:sz="0" w:space="0" w:color="auto"/>
            <w:right w:val="none" w:sz="0" w:space="0" w:color="auto"/>
          </w:divBdr>
        </w:div>
        <w:div w:id="1756785945">
          <w:marLeft w:val="0"/>
          <w:marRight w:val="0"/>
          <w:marTop w:val="0"/>
          <w:marBottom w:val="0"/>
          <w:divBdr>
            <w:top w:val="none" w:sz="0" w:space="0" w:color="auto"/>
            <w:left w:val="none" w:sz="0" w:space="0" w:color="auto"/>
            <w:bottom w:val="none" w:sz="0" w:space="0" w:color="auto"/>
            <w:right w:val="none" w:sz="0" w:space="0" w:color="auto"/>
          </w:divBdr>
        </w:div>
      </w:divsChild>
    </w:div>
    <w:div w:id="1756785927">
      <w:marLeft w:val="0"/>
      <w:marRight w:val="0"/>
      <w:marTop w:val="0"/>
      <w:marBottom w:val="0"/>
      <w:divBdr>
        <w:top w:val="none" w:sz="0" w:space="0" w:color="auto"/>
        <w:left w:val="none" w:sz="0" w:space="0" w:color="auto"/>
        <w:bottom w:val="none" w:sz="0" w:space="0" w:color="auto"/>
        <w:right w:val="none" w:sz="0" w:space="0" w:color="auto"/>
      </w:divBdr>
    </w:div>
    <w:div w:id="1756785928">
      <w:marLeft w:val="0"/>
      <w:marRight w:val="0"/>
      <w:marTop w:val="0"/>
      <w:marBottom w:val="0"/>
      <w:divBdr>
        <w:top w:val="none" w:sz="0" w:space="0" w:color="auto"/>
        <w:left w:val="none" w:sz="0" w:space="0" w:color="auto"/>
        <w:bottom w:val="none" w:sz="0" w:space="0" w:color="auto"/>
        <w:right w:val="none" w:sz="0" w:space="0" w:color="auto"/>
      </w:divBdr>
      <w:divsChild>
        <w:div w:id="1756785810">
          <w:marLeft w:val="0"/>
          <w:marRight w:val="0"/>
          <w:marTop w:val="0"/>
          <w:marBottom w:val="0"/>
          <w:divBdr>
            <w:top w:val="none" w:sz="0" w:space="0" w:color="auto"/>
            <w:left w:val="none" w:sz="0" w:space="0" w:color="auto"/>
            <w:bottom w:val="none" w:sz="0" w:space="0" w:color="auto"/>
            <w:right w:val="none" w:sz="0" w:space="0" w:color="auto"/>
          </w:divBdr>
          <w:divsChild>
            <w:div w:id="1756785665">
              <w:marLeft w:val="0"/>
              <w:marRight w:val="0"/>
              <w:marTop w:val="0"/>
              <w:marBottom w:val="0"/>
              <w:divBdr>
                <w:top w:val="none" w:sz="0" w:space="0" w:color="auto"/>
                <w:left w:val="none" w:sz="0" w:space="0" w:color="auto"/>
                <w:bottom w:val="none" w:sz="0" w:space="0" w:color="auto"/>
                <w:right w:val="none" w:sz="0" w:space="0" w:color="auto"/>
              </w:divBdr>
            </w:div>
            <w:div w:id="1756785700">
              <w:marLeft w:val="0"/>
              <w:marRight w:val="0"/>
              <w:marTop w:val="0"/>
              <w:marBottom w:val="0"/>
              <w:divBdr>
                <w:top w:val="none" w:sz="0" w:space="0" w:color="auto"/>
                <w:left w:val="none" w:sz="0" w:space="0" w:color="auto"/>
                <w:bottom w:val="none" w:sz="0" w:space="0" w:color="auto"/>
                <w:right w:val="none" w:sz="0" w:space="0" w:color="auto"/>
              </w:divBdr>
            </w:div>
            <w:div w:id="1756785707">
              <w:marLeft w:val="0"/>
              <w:marRight w:val="0"/>
              <w:marTop w:val="0"/>
              <w:marBottom w:val="0"/>
              <w:divBdr>
                <w:top w:val="none" w:sz="0" w:space="0" w:color="auto"/>
                <w:left w:val="none" w:sz="0" w:space="0" w:color="auto"/>
                <w:bottom w:val="none" w:sz="0" w:space="0" w:color="auto"/>
                <w:right w:val="none" w:sz="0" w:space="0" w:color="auto"/>
              </w:divBdr>
            </w:div>
            <w:div w:id="1756785713">
              <w:marLeft w:val="0"/>
              <w:marRight w:val="0"/>
              <w:marTop w:val="0"/>
              <w:marBottom w:val="0"/>
              <w:divBdr>
                <w:top w:val="none" w:sz="0" w:space="0" w:color="auto"/>
                <w:left w:val="none" w:sz="0" w:space="0" w:color="auto"/>
                <w:bottom w:val="none" w:sz="0" w:space="0" w:color="auto"/>
                <w:right w:val="none" w:sz="0" w:space="0" w:color="auto"/>
              </w:divBdr>
            </w:div>
            <w:div w:id="1756785728">
              <w:marLeft w:val="0"/>
              <w:marRight w:val="0"/>
              <w:marTop w:val="0"/>
              <w:marBottom w:val="0"/>
              <w:divBdr>
                <w:top w:val="none" w:sz="0" w:space="0" w:color="auto"/>
                <w:left w:val="none" w:sz="0" w:space="0" w:color="auto"/>
                <w:bottom w:val="none" w:sz="0" w:space="0" w:color="auto"/>
                <w:right w:val="none" w:sz="0" w:space="0" w:color="auto"/>
              </w:divBdr>
            </w:div>
            <w:div w:id="1756785740">
              <w:marLeft w:val="0"/>
              <w:marRight w:val="0"/>
              <w:marTop w:val="0"/>
              <w:marBottom w:val="0"/>
              <w:divBdr>
                <w:top w:val="none" w:sz="0" w:space="0" w:color="auto"/>
                <w:left w:val="none" w:sz="0" w:space="0" w:color="auto"/>
                <w:bottom w:val="none" w:sz="0" w:space="0" w:color="auto"/>
                <w:right w:val="none" w:sz="0" w:space="0" w:color="auto"/>
              </w:divBdr>
            </w:div>
            <w:div w:id="1756785771">
              <w:marLeft w:val="0"/>
              <w:marRight w:val="0"/>
              <w:marTop w:val="0"/>
              <w:marBottom w:val="0"/>
              <w:divBdr>
                <w:top w:val="none" w:sz="0" w:space="0" w:color="auto"/>
                <w:left w:val="none" w:sz="0" w:space="0" w:color="auto"/>
                <w:bottom w:val="none" w:sz="0" w:space="0" w:color="auto"/>
                <w:right w:val="none" w:sz="0" w:space="0" w:color="auto"/>
              </w:divBdr>
            </w:div>
            <w:div w:id="1756785847">
              <w:marLeft w:val="0"/>
              <w:marRight w:val="0"/>
              <w:marTop w:val="0"/>
              <w:marBottom w:val="0"/>
              <w:divBdr>
                <w:top w:val="none" w:sz="0" w:space="0" w:color="auto"/>
                <w:left w:val="none" w:sz="0" w:space="0" w:color="auto"/>
                <w:bottom w:val="none" w:sz="0" w:space="0" w:color="auto"/>
                <w:right w:val="none" w:sz="0" w:space="0" w:color="auto"/>
              </w:divBdr>
            </w:div>
            <w:div w:id="175678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944">
      <w:marLeft w:val="0"/>
      <w:marRight w:val="0"/>
      <w:marTop w:val="0"/>
      <w:marBottom w:val="0"/>
      <w:divBdr>
        <w:top w:val="none" w:sz="0" w:space="0" w:color="auto"/>
        <w:left w:val="none" w:sz="0" w:space="0" w:color="auto"/>
        <w:bottom w:val="none" w:sz="0" w:space="0" w:color="auto"/>
        <w:right w:val="none" w:sz="0" w:space="0" w:color="auto"/>
      </w:divBdr>
    </w:div>
    <w:div w:id="1756785946">
      <w:marLeft w:val="0"/>
      <w:marRight w:val="0"/>
      <w:marTop w:val="0"/>
      <w:marBottom w:val="0"/>
      <w:divBdr>
        <w:top w:val="none" w:sz="0" w:space="0" w:color="auto"/>
        <w:left w:val="none" w:sz="0" w:space="0" w:color="auto"/>
        <w:bottom w:val="none" w:sz="0" w:space="0" w:color="auto"/>
        <w:right w:val="none" w:sz="0" w:space="0" w:color="auto"/>
      </w:divBdr>
    </w:div>
    <w:div w:id="1756785947">
      <w:marLeft w:val="0"/>
      <w:marRight w:val="0"/>
      <w:marTop w:val="0"/>
      <w:marBottom w:val="0"/>
      <w:divBdr>
        <w:top w:val="none" w:sz="0" w:space="0" w:color="auto"/>
        <w:left w:val="none" w:sz="0" w:space="0" w:color="auto"/>
        <w:bottom w:val="none" w:sz="0" w:space="0" w:color="auto"/>
        <w:right w:val="none" w:sz="0" w:space="0" w:color="auto"/>
      </w:divBdr>
    </w:div>
    <w:div w:id="1756785952">
      <w:marLeft w:val="0"/>
      <w:marRight w:val="0"/>
      <w:marTop w:val="0"/>
      <w:marBottom w:val="0"/>
      <w:divBdr>
        <w:top w:val="none" w:sz="0" w:space="0" w:color="auto"/>
        <w:left w:val="none" w:sz="0" w:space="0" w:color="auto"/>
        <w:bottom w:val="none" w:sz="0" w:space="0" w:color="auto"/>
        <w:right w:val="none" w:sz="0" w:space="0" w:color="auto"/>
      </w:divBdr>
    </w:div>
    <w:div w:id="1756785955">
      <w:marLeft w:val="0"/>
      <w:marRight w:val="0"/>
      <w:marTop w:val="0"/>
      <w:marBottom w:val="0"/>
      <w:divBdr>
        <w:top w:val="none" w:sz="0" w:space="0" w:color="auto"/>
        <w:left w:val="none" w:sz="0" w:space="0" w:color="auto"/>
        <w:bottom w:val="none" w:sz="0" w:space="0" w:color="auto"/>
        <w:right w:val="none" w:sz="0" w:space="0" w:color="auto"/>
      </w:divBdr>
      <w:divsChild>
        <w:div w:id="1756785737">
          <w:marLeft w:val="0"/>
          <w:marRight w:val="0"/>
          <w:marTop w:val="0"/>
          <w:marBottom w:val="0"/>
          <w:divBdr>
            <w:top w:val="none" w:sz="0" w:space="0" w:color="auto"/>
            <w:left w:val="none" w:sz="0" w:space="0" w:color="auto"/>
            <w:bottom w:val="none" w:sz="0" w:space="0" w:color="auto"/>
            <w:right w:val="none" w:sz="0" w:space="0" w:color="auto"/>
          </w:divBdr>
        </w:div>
        <w:div w:id="1756785755">
          <w:marLeft w:val="0"/>
          <w:marRight w:val="0"/>
          <w:marTop w:val="0"/>
          <w:marBottom w:val="0"/>
          <w:divBdr>
            <w:top w:val="none" w:sz="0" w:space="0" w:color="auto"/>
            <w:left w:val="none" w:sz="0" w:space="0" w:color="auto"/>
            <w:bottom w:val="none" w:sz="0" w:space="0" w:color="auto"/>
            <w:right w:val="none" w:sz="0" w:space="0" w:color="auto"/>
          </w:divBdr>
        </w:div>
        <w:div w:id="1756785821">
          <w:marLeft w:val="0"/>
          <w:marRight w:val="0"/>
          <w:marTop w:val="0"/>
          <w:marBottom w:val="0"/>
          <w:divBdr>
            <w:top w:val="none" w:sz="0" w:space="0" w:color="auto"/>
            <w:left w:val="none" w:sz="0" w:space="0" w:color="auto"/>
            <w:bottom w:val="none" w:sz="0" w:space="0" w:color="auto"/>
            <w:right w:val="none" w:sz="0" w:space="0" w:color="auto"/>
          </w:divBdr>
        </w:div>
        <w:div w:id="1756785834">
          <w:marLeft w:val="0"/>
          <w:marRight w:val="0"/>
          <w:marTop w:val="0"/>
          <w:marBottom w:val="0"/>
          <w:divBdr>
            <w:top w:val="none" w:sz="0" w:space="0" w:color="auto"/>
            <w:left w:val="none" w:sz="0" w:space="0" w:color="auto"/>
            <w:bottom w:val="none" w:sz="0" w:space="0" w:color="auto"/>
            <w:right w:val="none" w:sz="0" w:space="0" w:color="auto"/>
          </w:divBdr>
        </w:div>
        <w:div w:id="1756785910">
          <w:marLeft w:val="0"/>
          <w:marRight w:val="0"/>
          <w:marTop w:val="0"/>
          <w:marBottom w:val="0"/>
          <w:divBdr>
            <w:top w:val="none" w:sz="0" w:space="0" w:color="auto"/>
            <w:left w:val="none" w:sz="0" w:space="0" w:color="auto"/>
            <w:bottom w:val="none" w:sz="0" w:space="0" w:color="auto"/>
            <w:right w:val="none" w:sz="0" w:space="0" w:color="auto"/>
          </w:divBdr>
        </w:div>
        <w:div w:id="1756785939">
          <w:marLeft w:val="0"/>
          <w:marRight w:val="0"/>
          <w:marTop w:val="0"/>
          <w:marBottom w:val="0"/>
          <w:divBdr>
            <w:top w:val="none" w:sz="0" w:space="0" w:color="auto"/>
            <w:left w:val="none" w:sz="0" w:space="0" w:color="auto"/>
            <w:bottom w:val="none" w:sz="0" w:space="0" w:color="auto"/>
            <w:right w:val="none" w:sz="0" w:space="0" w:color="auto"/>
          </w:divBdr>
        </w:div>
        <w:div w:id="1756785956">
          <w:marLeft w:val="0"/>
          <w:marRight w:val="0"/>
          <w:marTop w:val="0"/>
          <w:marBottom w:val="0"/>
          <w:divBdr>
            <w:top w:val="none" w:sz="0" w:space="0" w:color="auto"/>
            <w:left w:val="none" w:sz="0" w:space="0" w:color="auto"/>
            <w:bottom w:val="none" w:sz="0" w:space="0" w:color="auto"/>
            <w:right w:val="none" w:sz="0" w:space="0" w:color="auto"/>
          </w:divBdr>
        </w:div>
        <w:div w:id="1756785968">
          <w:marLeft w:val="0"/>
          <w:marRight w:val="0"/>
          <w:marTop w:val="0"/>
          <w:marBottom w:val="0"/>
          <w:divBdr>
            <w:top w:val="none" w:sz="0" w:space="0" w:color="auto"/>
            <w:left w:val="none" w:sz="0" w:space="0" w:color="auto"/>
            <w:bottom w:val="none" w:sz="0" w:space="0" w:color="auto"/>
            <w:right w:val="none" w:sz="0" w:space="0" w:color="auto"/>
          </w:divBdr>
        </w:div>
      </w:divsChild>
    </w:div>
    <w:div w:id="1756785957">
      <w:marLeft w:val="0"/>
      <w:marRight w:val="0"/>
      <w:marTop w:val="0"/>
      <w:marBottom w:val="0"/>
      <w:divBdr>
        <w:top w:val="none" w:sz="0" w:space="0" w:color="auto"/>
        <w:left w:val="none" w:sz="0" w:space="0" w:color="auto"/>
        <w:bottom w:val="none" w:sz="0" w:space="0" w:color="auto"/>
        <w:right w:val="none" w:sz="0" w:space="0" w:color="auto"/>
      </w:divBdr>
      <w:divsChild>
        <w:div w:id="1756785702">
          <w:marLeft w:val="0"/>
          <w:marRight w:val="0"/>
          <w:marTop w:val="0"/>
          <w:marBottom w:val="0"/>
          <w:divBdr>
            <w:top w:val="none" w:sz="0" w:space="0" w:color="auto"/>
            <w:left w:val="none" w:sz="0" w:space="0" w:color="auto"/>
            <w:bottom w:val="none" w:sz="0" w:space="0" w:color="auto"/>
            <w:right w:val="none" w:sz="0" w:space="0" w:color="auto"/>
          </w:divBdr>
        </w:div>
      </w:divsChild>
    </w:div>
    <w:div w:id="1756785958">
      <w:marLeft w:val="0"/>
      <w:marRight w:val="0"/>
      <w:marTop w:val="0"/>
      <w:marBottom w:val="0"/>
      <w:divBdr>
        <w:top w:val="none" w:sz="0" w:space="0" w:color="auto"/>
        <w:left w:val="none" w:sz="0" w:space="0" w:color="auto"/>
        <w:bottom w:val="none" w:sz="0" w:space="0" w:color="auto"/>
        <w:right w:val="none" w:sz="0" w:space="0" w:color="auto"/>
      </w:divBdr>
      <w:divsChild>
        <w:div w:id="1756785662">
          <w:marLeft w:val="0"/>
          <w:marRight w:val="0"/>
          <w:marTop w:val="0"/>
          <w:marBottom w:val="0"/>
          <w:divBdr>
            <w:top w:val="none" w:sz="0" w:space="0" w:color="auto"/>
            <w:left w:val="none" w:sz="0" w:space="0" w:color="auto"/>
            <w:bottom w:val="none" w:sz="0" w:space="0" w:color="auto"/>
            <w:right w:val="none" w:sz="0" w:space="0" w:color="auto"/>
          </w:divBdr>
        </w:div>
        <w:div w:id="1756785699">
          <w:marLeft w:val="0"/>
          <w:marRight w:val="0"/>
          <w:marTop w:val="0"/>
          <w:marBottom w:val="0"/>
          <w:divBdr>
            <w:top w:val="none" w:sz="0" w:space="0" w:color="auto"/>
            <w:left w:val="none" w:sz="0" w:space="0" w:color="auto"/>
            <w:bottom w:val="none" w:sz="0" w:space="0" w:color="auto"/>
            <w:right w:val="none" w:sz="0" w:space="0" w:color="auto"/>
          </w:divBdr>
        </w:div>
        <w:div w:id="1756785704">
          <w:marLeft w:val="0"/>
          <w:marRight w:val="0"/>
          <w:marTop w:val="0"/>
          <w:marBottom w:val="0"/>
          <w:divBdr>
            <w:top w:val="none" w:sz="0" w:space="0" w:color="auto"/>
            <w:left w:val="none" w:sz="0" w:space="0" w:color="auto"/>
            <w:bottom w:val="none" w:sz="0" w:space="0" w:color="auto"/>
            <w:right w:val="none" w:sz="0" w:space="0" w:color="auto"/>
          </w:divBdr>
        </w:div>
        <w:div w:id="1756785719">
          <w:marLeft w:val="0"/>
          <w:marRight w:val="0"/>
          <w:marTop w:val="0"/>
          <w:marBottom w:val="0"/>
          <w:divBdr>
            <w:top w:val="none" w:sz="0" w:space="0" w:color="auto"/>
            <w:left w:val="none" w:sz="0" w:space="0" w:color="auto"/>
            <w:bottom w:val="none" w:sz="0" w:space="0" w:color="auto"/>
            <w:right w:val="none" w:sz="0" w:space="0" w:color="auto"/>
          </w:divBdr>
        </w:div>
        <w:div w:id="1756785743">
          <w:marLeft w:val="0"/>
          <w:marRight w:val="0"/>
          <w:marTop w:val="0"/>
          <w:marBottom w:val="0"/>
          <w:divBdr>
            <w:top w:val="none" w:sz="0" w:space="0" w:color="auto"/>
            <w:left w:val="none" w:sz="0" w:space="0" w:color="auto"/>
            <w:bottom w:val="none" w:sz="0" w:space="0" w:color="auto"/>
            <w:right w:val="none" w:sz="0" w:space="0" w:color="auto"/>
          </w:divBdr>
        </w:div>
        <w:div w:id="1756785748">
          <w:marLeft w:val="0"/>
          <w:marRight w:val="0"/>
          <w:marTop w:val="0"/>
          <w:marBottom w:val="0"/>
          <w:divBdr>
            <w:top w:val="none" w:sz="0" w:space="0" w:color="auto"/>
            <w:left w:val="none" w:sz="0" w:space="0" w:color="auto"/>
            <w:bottom w:val="none" w:sz="0" w:space="0" w:color="auto"/>
            <w:right w:val="none" w:sz="0" w:space="0" w:color="auto"/>
          </w:divBdr>
        </w:div>
        <w:div w:id="1756785758">
          <w:marLeft w:val="0"/>
          <w:marRight w:val="0"/>
          <w:marTop w:val="0"/>
          <w:marBottom w:val="0"/>
          <w:divBdr>
            <w:top w:val="none" w:sz="0" w:space="0" w:color="auto"/>
            <w:left w:val="none" w:sz="0" w:space="0" w:color="auto"/>
            <w:bottom w:val="none" w:sz="0" w:space="0" w:color="auto"/>
            <w:right w:val="none" w:sz="0" w:space="0" w:color="auto"/>
          </w:divBdr>
        </w:div>
        <w:div w:id="1756785767">
          <w:marLeft w:val="0"/>
          <w:marRight w:val="0"/>
          <w:marTop w:val="0"/>
          <w:marBottom w:val="0"/>
          <w:divBdr>
            <w:top w:val="none" w:sz="0" w:space="0" w:color="auto"/>
            <w:left w:val="none" w:sz="0" w:space="0" w:color="auto"/>
            <w:bottom w:val="none" w:sz="0" w:space="0" w:color="auto"/>
            <w:right w:val="none" w:sz="0" w:space="0" w:color="auto"/>
          </w:divBdr>
        </w:div>
        <w:div w:id="1756785768">
          <w:marLeft w:val="0"/>
          <w:marRight w:val="0"/>
          <w:marTop w:val="0"/>
          <w:marBottom w:val="0"/>
          <w:divBdr>
            <w:top w:val="none" w:sz="0" w:space="0" w:color="auto"/>
            <w:left w:val="none" w:sz="0" w:space="0" w:color="auto"/>
            <w:bottom w:val="none" w:sz="0" w:space="0" w:color="auto"/>
            <w:right w:val="none" w:sz="0" w:space="0" w:color="auto"/>
          </w:divBdr>
        </w:div>
        <w:div w:id="1756785776">
          <w:marLeft w:val="0"/>
          <w:marRight w:val="0"/>
          <w:marTop w:val="0"/>
          <w:marBottom w:val="0"/>
          <w:divBdr>
            <w:top w:val="none" w:sz="0" w:space="0" w:color="auto"/>
            <w:left w:val="none" w:sz="0" w:space="0" w:color="auto"/>
            <w:bottom w:val="none" w:sz="0" w:space="0" w:color="auto"/>
            <w:right w:val="none" w:sz="0" w:space="0" w:color="auto"/>
          </w:divBdr>
        </w:div>
        <w:div w:id="1756785785">
          <w:marLeft w:val="0"/>
          <w:marRight w:val="0"/>
          <w:marTop w:val="0"/>
          <w:marBottom w:val="0"/>
          <w:divBdr>
            <w:top w:val="none" w:sz="0" w:space="0" w:color="auto"/>
            <w:left w:val="none" w:sz="0" w:space="0" w:color="auto"/>
            <w:bottom w:val="none" w:sz="0" w:space="0" w:color="auto"/>
            <w:right w:val="none" w:sz="0" w:space="0" w:color="auto"/>
          </w:divBdr>
        </w:div>
        <w:div w:id="1756785798">
          <w:marLeft w:val="0"/>
          <w:marRight w:val="0"/>
          <w:marTop w:val="0"/>
          <w:marBottom w:val="0"/>
          <w:divBdr>
            <w:top w:val="none" w:sz="0" w:space="0" w:color="auto"/>
            <w:left w:val="none" w:sz="0" w:space="0" w:color="auto"/>
            <w:bottom w:val="none" w:sz="0" w:space="0" w:color="auto"/>
            <w:right w:val="none" w:sz="0" w:space="0" w:color="auto"/>
          </w:divBdr>
        </w:div>
        <w:div w:id="1756785802">
          <w:marLeft w:val="0"/>
          <w:marRight w:val="0"/>
          <w:marTop w:val="0"/>
          <w:marBottom w:val="0"/>
          <w:divBdr>
            <w:top w:val="none" w:sz="0" w:space="0" w:color="auto"/>
            <w:left w:val="none" w:sz="0" w:space="0" w:color="auto"/>
            <w:bottom w:val="none" w:sz="0" w:space="0" w:color="auto"/>
            <w:right w:val="none" w:sz="0" w:space="0" w:color="auto"/>
          </w:divBdr>
        </w:div>
        <w:div w:id="1756785808">
          <w:marLeft w:val="0"/>
          <w:marRight w:val="0"/>
          <w:marTop w:val="0"/>
          <w:marBottom w:val="0"/>
          <w:divBdr>
            <w:top w:val="none" w:sz="0" w:space="0" w:color="auto"/>
            <w:left w:val="none" w:sz="0" w:space="0" w:color="auto"/>
            <w:bottom w:val="none" w:sz="0" w:space="0" w:color="auto"/>
            <w:right w:val="none" w:sz="0" w:space="0" w:color="auto"/>
          </w:divBdr>
        </w:div>
        <w:div w:id="1756785883">
          <w:marLeft w:val="0"/>
          <w:marRight w:val="0"/>
          <w:marTop w:val="0"/>
          <w:marBottom w:val="0"/>
          <w:divBdr>
            <w:top w:val="none" w:sz="0" w:space="0" w:color="auto"/>
            <w:left w:val="none" w:sz="0" w:space="0" w:color="auto"/>
            <w:bottom w:val="none" w:sz="0" w:space="0" w:color="auto"/>
            <w:right w:val="none" w:sz="0" w:space="0" w:color="auto"/>
          </w:divBdr>
        </w:div>
        <w:div w:id="1756785911">
          <w:marLeft w:val="0"/>
          <w:marRight w:val="0"/>
          <w:marTop w:val="0"/>
          <w:marBottom w:val="0"/>
          <w:divBdr>
            <w:top w:val="none" w:sz="0" w:space="0" w:color="auto"/>
            <w:left w:val="none" w:sz="0" w:space="0" w:color="auto"/>
            <w:bottom w:val="none" w:sz="0" w:space="0" w:color="auto"/>
            <w:right w:val="none" w:sz="0" w:space="0" w:color="auto"/>
          </w:divBdr>
        </w:div>
        <w:div w:id="1756785924">
          <w:marLeft w:val="0"/>
          <w:marRight w:val="0"/>
          <w:marTop w:val="0"/>
          <w:marBottom w:val="0"/>
          <w:divBdr>
            <w:top w:val="none" w:sz="0" w:space="0" w:color="auto"/>
            <w:left w:val="none" w:sz="0" w:space="0" w:color="auto"/>
            <w:bottom w:val="none" w:sz="0" w:space="0" w:color="auto"/>
            <w:right w:val="none" w:sz="0" w:space="0" w:color="auto"/>
          </w:divBdr>
        </w:div>
        <w:div w:id="1756785929">
          <w:marLeft w:val="0"/>
          <w:marRight w:val="0"/>
          <w:marTop w:val="0"/>
          <w:marBottom w:val="0"/>
          <w:divBdr>
            <w:top w:val="none" w:sz="0" w:space="0" w:color="auto"/>
            <w:left w:val="none" w:sz="0" w:space="0" w:color="auto"/>
            <w:bottom w:val="none" w:sz="0" w:space="0" w:color="auto"/>
            <w:right w:val="none" w:sz="0" w:space="0" w:color="auto"/>
          </w:divBdr>
        </w:div>
      </w:divsChild>
    </w:div>
    <w:div w:id="1756785971">
      <w:marLeft w:val="0"/>
      <w:marRight w:val="0"/>
      <w:marTop w:val="0"/>
      <w:marBottom w:val="0"/>
      <w:divBdr>
        <w:top w:val="none" w:sz="0" w:space="0" w:color="auto"/>
        <w:left w:val="none" w:sz="0" w:space="0" w:color="auto"/>
        <w:bottom w:val="none" w:sz="0" w:space="0" w:color="auto"/>
        <w:right w:val="none" w:sz="0" w:space="0" w:color="auto"/>
      </w:divBdr>
      <w:divsChild>
        <w:div w:id="1756785674">
          <w:marLeft w:val="0"/>
          <w:marRight w:val="0"/>
          <w:marTop w:val="0"/>
          <w:marBottom w:val="0"/>
          <w:divBdr>
            <w:top w:val="none" w:sz="0" w:space="0" w:color="auto"/>
            <w:left w:val="none" w:sz="0" w:space="0" w:color="auto"/>
            <w:bottom w:val="none" w:sz="0" w:space="0" w:color="auto"/>
            <w:right w:val="none" w:sz="0" w:space="0" w:color="auto"/>
          </w:divBdr>
        </w:div>
        <w:div w:id="1756785782">
          <w:marLeft w:val="0"/>
          <w:marRight w:val="0"/>
          <w:marTop w:val="0"/>
          <w:marBottom w:val="0"/>
          <w:divBdr>
            <w:top w:val="none" w:sz="0" w:space="0" w:color="auto"/>
            <w:left w:val="none" w:sz="0" w:space="0" w:color="auto"/>
            <w:bottom w:val="none" w:sz="0" w:space="0" w:color="auto"/>
            <w:right w:val="none" w:sz="0" w:space="0" w:color="auto"/>
          </w:divBdr>
        </w:div>
        <w:div w:id="1756785784">
          <w:marLeft w:val="0"/>
          <w:marRight w:val="0"/>
          <w:marTop w:val="0"/>
          <w:marBottom w:val="0"/>
          <w:divBdr>
            <w:top w:val="none" w:sz="0" w:space="0" w:color="auto"/>
            <w:left w:val="none" w:sz="0" w:space="0" w:color="auto"/>
            <w:bottom w:val="none" w:sz="0" w:space="0" w:color="auto"/>
            <w:right w:val="none" w:sz="0" w:space="0" w:color="auto"/>
          </w:divBdr>
        </w:div>
        <w:div w:id="1756785830">
          <w:marLeft w:val="0"/>
          <w:marRight w:val="0"/>
          <w:marTop w:val="0"/>
          <w:marBottom w:val="0"/>
          <w:divBdr>
            <w:top w:val="none" w:sz="0" w:space="0" w:color="auto"/>
            <w:left w:val="none" w:sz="0" w:space="0" w:color="auto"/>
            <w:bottom w:val="none" w:sz="0" w:space="0" w:color="auto"/>
            <w:right w:val="none" w:sz="0" w:space="0" w:color="auto"/>
          </w:divBdr>
        </w:div>
        <w:div w:id="1756785842">
          <w:marLeft w:val="0"/>
          <w:marRight w:val="0"/>
          <w:marTop w:val="0"/>
          <w:marBottom w:val="0"/>
          <w:divBdr>
            <w:top w:val="none" w:sz="0" w:space="0" w:color="auto"/>
            <w:left w:val="none" w:sz="0" w:space="0" w:color="auto"/>
            <w:bottom w:val="none" w:sz="0" w:space="0" w:color="auto"/>
            <w:right w:val="none" w:sz="0" w:space="0" w:color="auto"/>
          </w:divBdr>
        </w:div>
        <w:div w:id="1756785864">
          <w:marLeft w:val="0"/>
          <w:marRight w:val="0"/>
          <w:marTop w:val="0"/>
          <w:marBottom w:val="0"/>
          <w:divBdr>
            <w:top w:val="none" w:sz="0" w:space="0" w:color="auto"/>
            <w:left w:val="none" w:sz="0" w:space="0" w:color="auto"/>
            <w:bottom w:val="none" w:sz="0" w:space="0" w:color="auto"/>
            <w:right w:val="none" w:sz="0" w:space="0" w:color="auto"/>
          </w:divBdr>
        </w:div>
        <w:div w:id="1756785869">
          <w:marLeft w:val="0"/>
          <w:marRight w:val="0"/>
          <w:marTop w:val="0"/>
          <w:marBottom w:val="0"/>
          <w:divBdr>
            <w:top w:val="none" w:sz="0" w:space="0" w:color="auto"/>
            <w:left w:val="none" w:sz="0" w:space="0" w:color="auto"/>
            <w:bottom w:val="none" w:sz="0" w:space="0" w:color="auto"/>
            <w:right w:val="none" w:sz="0" w:space="0" w:color="auto"/>
          </w:divBdr>
        </w:div>
        <w:div w:id="1756785887">
          <w:marLeft w:val="0"/>
          <w:marRight w:val="0"/>
          <w:marTop w:val="0"/>
          <w:marBottom w:val="0"/>
          <w:divBdr>
            <w:top w:val="none" w:sz="0" w:space="0" w:color="auto"/>
            <w:left w:val="none" w:sz="0" w:space="0" w:color="auto"/>
            <w:bottom w:val="none" w:sz="0" w:space="0" w:color="auto"/>
            <w:right w:val="none" w:sz="0" w:space="0" w:color="auto"/>
          </w:divBdr>
        </w:div>
        <w:div w:id="1756785889">
          <w:marLeft w:val="0"/>
          <w:marRight w:val="0"/>
          <w:marTop w:val="0"/>
          <w:marBottom w:val="0"/>
          <w:divBdr>
            <w:top w:val="none" w:sz="0" w:space="0" w:color="auto"/>
            <w:left w:val="none" w:sz="0" w:space="0" w:color="auto"/>
            <w:bottom w:val="none" w:sz="0" w:space="0" w:color="auto"/>
            <w:right w:val="none" w:sz="0" w:space="0" w:color="auto"/>
          </w:divBdr>
        </w:div>
        <w:div w:id="1756785920">
          <w:marLeft w:val="0"/>
          <w:marRight w:val="0"/>
          <w:marTop w:val="0"/>
          <w:marBottom w:val="0"/>
          <w:divBdr>
            <w:top w:val="none" w:sz="0" w:space="0" w:color="auto"/>
            <w:left w:val="none" w:sz="0" w:space="0" w:color="auto"/>
            <w:bottom w:val="none" w:sz="0" w:space="0" w:color="auto"/>
            <w:right w:val="none" w:sz="0" w:space="0" w:color="auto"/>
          </w:divBdr>
        </w:div>
        <w:div w:id="1756785950">
          <w:marLeft w:val="0"/>
          <w:marRight w:val="0"/>
          <w:marTop w:val="0"/>
          <w:marBottom w:val="0"/>
          <w:divBdr>
            <w:top w:val="none" w:sz="0" w:space="0" w:color="auto"/>
            <w:left w:val="none" w:sz="0" w:space="0" w:color="auto"/>
            <w:bottom w:val="none" w:sz="0" w:space="0" w:color="auto"/>
            <w:right w:val="none" w:sz="0" w:space="0" w:color="auto"/>
          </w:divBdr>
        </w:div>
      </w:divsChild>
    </w:div>
    <w:div w:id="1756785972">
      <w:marLeft w:val="0"/>
      <w:marRight w:val="0"/>
      <w:marTop w:val="0"/>
      <w:marBottom w:val="0"/>
      <w:divBdr>
        <w:top w:val="none" w:sz="0" w:space="0" w:color="auto"/>
        <w:left w:val="none" w:sz="0" w:space="0" w:color="auto"/>
        <w:bottom w:val="none" w:sz="0" w:space="0" w:color="auto"/>
        <w:right w:val="none" w:sz="0" w:space="0" w:color="auto"/>
      </w:divBdr>
    </w:div>
    <w:div w:id="1756785973">
      <w:marLeft w:val="0"/>
      <w:marRight w:val="0"/>
      <w:marTop w:val="0"/>
      <w:marBottom w:val="0"/>
      <w:divBdr>
        <w:top w:val="none" w:sz="0" w:space="0" w:color="auto"/>
        <w:left w:val="none" w:sz="0" w:space="0" w:color="auto"/>
        <w:bottom w:val="none" w:sz="0" w:space="0" w:color="auto"/>
        <w:right w:val="none" w:sz="0" w:space="0" w:color="auto"/>
      </w:divBdr>
      <w:divsChild>
        <w:div w:id="1756785985">
          <w:marLeft w:val="0"/>
          <w:marRight w:val="0"/>
          <w:marTop w:val="0"/>
          <w:marBottom w:val="0"/>
          <w:divBdr>
            <w:top w:val="none" w:sz="0" w:space="0" w:color="auto"/>
            <w:left w:val="none" w:sz="0" w:space="0" w:color="auto"/>
            <w:bottom w:val="none" w:sz="0" w:space="0" w:color="auto"/>
            <w:right w:val="none" w:sz="0" w:space="0" w:color="auto"/>
          </w:divBdr>
        </w:div>
      </w:divsChild>
    </w:div>
    <w:div w:id="1756785976">
      <w:marLeft w:val="0"/>
      <w:marRight w:val="0"/>
      <w:marTop w:val="0"/>
      <w:marBottom w:val="0"/>
      <w:divBdr>
        <w:top w:val="none" w:sz="0" w:space="0" w:color="auto"/>
        <w:left w:val="none" w:sz="0" w:space="0" w:color="auto"/>
        <w:bottom w:val="none" w:sz="0" w:space="0" w:color="auto"/>
        <w:right w:val="none" w:sz="0" w:space="0" w:color="auto"/>
      </w:divBdr>
      <w:divsChild>
        <w:div w:id="1756785979">
          <w:marLeft w:val="0"/>
          <w:marRight w:val="0"/>
          <w:marTop w:val="0"/>
          <w:marBottom w:val="0"/>
          <w:divBdr>
            <w:top w:val="none" w:sz="0" w:space="0" w:color="auto"/>
            <w:left w:val="none" w:sz="0" w:space="0" w:color="auto"/>
            <w:bottom w:val="none" w:sz="0" w:space="0" w:color="auto"/>
            <w:right w:val="none" w:sz="0" w:space="0" w:color="auto"/>
          </w:divBdr>
          <w:divsChild>
            <w:div w:id="1756785974">
              <w:marLeft w:val="0"/>
              <w:marRight w:val="0"/>
              <w:marTop w:val="0"/>
              <w:marBottom w:val="0"/>
              <w:divBdr>
                <w:top w:val="none" w:sz="0" w:space="0" w:color="auto"/>
                <w:left w:val="none" w:sz="0" w:space="0" w:color="auto"/>
                <w:bottom w:val="none" w:sz="0" w:space="0" w:color="auto"/>
                <w:right w:val="none" w:sz="0" w:space="0" w:color="auto"/>
              </w:divBdr>
            </w:div>
            <w:div w:id="1756785978">
              <w:marLeft w:val="0"/>
              <w:marRight w:val="0"/>
              <w:marTop w:val="0"/>
              <w:marBottom w:val="0"/>
              <w:divBdr>
                <w:top w:val="none" w:sz="0" w:space="0" w:color="auto"/>
                <w:left w:val="none" w:sz="0" w:space="0" w:color="auto"/>
                <w:bottom w:val="none" w:sz="0" w:space="0" w:color="auto"/>
                <w:right w:val="none" w:sz="0" w:space="0" w:color="auto"/>
              </w:divBdr>
            </w:div>
            <w:div w:id="175678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5980">
      <w:marLeft w:val="0"/>
      <w:marRight w:val="0"/>
      <w:marTop w:val="0"/>
      <w:marBottom w:val="0"/>
      <w:divBdr>
        <w:top w:val="none" w:sz="0" w:space="0" w:color="auto"/>
        <w:left w:val="none" w:sz="0" w:space="0" w:color="auto"/>
        <w:bottom w:val="none" w:sz="0" w:space="0" w:color="auto"/>
        <w:right w:val="none" w:sz="0" w:space="0" w:color="auto"/>
      </w:divBdr>
    </w:div>
    <w:div w:id="1756785981">
      <w:marLeft w:val="0"/>
      <w:marRight w:val="0"/>
      <w:marTop w:val="0"/>
      <w:marBottom w:val="0"/>
      <w:divBdr>
        <w:top w:val="none" w:sz="0" w:space="0" w:color="auto"/>
        <w:left w:val="none" w:sz="0" w:space="0" w:color="auto"/>
        <w:bottom w:val="none" w:sz="0" w:space="0" w:color="auto"/>
        <w:right w:val="none" w:sz="0" w:space="0" w:color="auto"/>
      </w:divBdr>
    </w:div>
    <w:div w:id="1756785984">
      <w:marLeft w:val="0"/>
      <w:marRight w:val="0"/>
      <w:marTop w:val="0"/>
      <w:marBottom w:val="0"/>
      <w:divBdr>
        <w:top w:val="none" w:sz="0" w:space="0" w:color="auto"/>
        <w:left w:val="none" w:sz="0" w:space="0" w:color="auto"/>
        <w:bottom w:val="none" w:sz="0" w:space="0" w:color="auto"/>
        <w:right w:val="none" w:sz="0" w:space="0" w:color="auto"/>
      </w:divBdr>
      <w:divsChild>
        <w:div w:id="1756785975">
          <w:marLeft w:val="547"/>
          <w:marRight w:val="0"/>
          <w:marTop w:val="134"/>
          <w:marBottom w:val="0"/>
          <w:divBdr>
            <w:top w:val="none" w:sz="0" w:space="0" w:color="auto"/>
            <w:left w:val="none" w:sz="0" w:space="0" w:color="auto"/>
            <w:bottom w:val="none" w:sz="0" w:space="0" w:color="auto"/>
            <w:right w:val="none" w:sz="0" w:space="0" w:color="auto"/>
          </w:divBdr>
        </w:div>
      </w:divsChild>
    </w:div>
    <w:div w:id="1756785986">
      <w:marLeft w:val="0"/>
      <w:marRight w:val="0"/>
      <w:marTop w:val="0"/>
      <w:marBottom w:val="0"/>
      <w:divBdr>
        <w:top w:val="none" w:sz="0" w:space="0" w:color="auto"/>
        <w:left w:val="none" w:sz="0" w:space="0" w:color="auto"/>
        <w:bottom w:val="none" w:sz="0" w:space="0" w:color="auto"/>
        <w:right w:val="none" w:sz="0" w:space="0" w:color="auto"/>
      </w:divBdr>
    </w:div>
    <w:div w:id="1756785988">
      <w:marLeft w:val="0"/>
      <w:marRight w:val="0"/>
      <w:marTop w:val="0"/>
      <w:marBottom w:val="0"/>
      <w:divBdr>
        <w:top w:val="none" w:sz="0" w:space="0" w:color="auto"/>
        <w:left w:val="none" w:sz="0" w:space="0" w:color="auto"/>
        <w:bottom w:val="none" w:sz="0" w:space="0" w:color="auto"/>
        <w:right w:val="none" w:sz="0" w:space="0" w:color="auto"/>
      </w:divBdr>
    </w:div>
    <w:div w:id="1756785989">
      <w:marLeft w:val="0"/>
      <w:marRight w:val="0"/>
      <w:marTop w:val="0"/>
      <w:marBottom w:val="0"/>
      <w:divBdr>
        <w:top w:val="none" w:sz="0" w:space="0" w:color="auto"/>
        <w:left w:val="none" w:sz="0" w:space="0" w:color="auto"/>
        <w:bottom w:val="none" w:sz="0" w:space="0" w:color="auto"/>
        <w:right w:val="none" w:sz="0" w:space="0" w:color="auto"/>
      </w:divBdr>
    </w:div>
    <w:div w:id="1756785990">
      <w:marLeft w:val="0"/>
      <w:marRight w:val="0"/>
      <w:marTop w:val="0"/>
      <w:marBottom w:val="0"/>
      <w:divBdr>
        <w:top w:val="none" w:sz="0" w:space="0" w:color="auto"/>
        <w:left w:val="none" w:sz="0" w:space="0" w:color="auto"/>
        <w:bottom w:val="none" w:sz="0" w:space="0" w:color="auto"/>
        <w:right w:val="none" w:sz="0" w:space="0" w:color="auto"/>
      </w:divBdr>
    </w:div>
    <w:div w:id="1756785994">
      <w:marLeft w:val="0"/>
      <w:marRight w:val="0"/>
      <w:marTop w:val="0"/>
      <w:marBottom w:val="0"/>
      <w:divBdr>
        <w:top w:val="none" w:sz="0" w:space="0" w:color="auto"/>
        <w:left w:val="none" w:sz="0" w:space="0" w:color="auto"/>
        <w:bottom w:val="none" w:sz="0" w:space="0" w:color="auto"/>
        <w:right w:val="none" w:sz="0" w:space="0" w:color="auto"/>
      </w:divBdr>
    </w:div>
    <w:div w:id="1756785995">
      <w:marLeft w:val="0"/>
      <w:marRight w:val="0"/>
      <w:marTop w:val="0"/>
      <w:marBottom w:val="0"/>
      <w:divBdr>
        <w:top w:val="none" w:sz="0" w:space="0" w:color="auto"/>
        <w:left w:val="none" w:sz="0" w:space="0" w:color="auto"/>
        <w:bottom w:val="none" w:sz="0" w:space="0" w:color="auto"/>
        <w:right w:val="none" w:sz="0" w:space="0" w:color="auto"/>
      </w:divBdr>
    </w:div>
    <w:div w:id="1756785996">
      <w:marLeft w:val="0"/>
      <w:marRight w:val="0"/>
      <w:marTop w:val="0"/>
      <w:marBottom w:val="0"/>
      <w:divBdr>
        <w:top w:val="none" w:sz="0" w:space="0" w:color="auto"/>
        <w:left w:val="none" w:sz="0" w:space="0" w:color="auto"/>
        <w:bottom w:val="none" w:sz="0" w:space="0" w:color="auto"/>
        <w:right w:val="none" w:sz="0" w:space="0" w:color="auto"/>
      </w:divBdr>
    </w:div>
    <w:div w:id="1756785999">
      <w:marLeft w:val="0"/>
      <w:marRight w:val="0"/>
      <w:marTop w:val="0"/>
      <w:marBottom w:val="0"/>
      <w:divBdr>
        <w:top w:val="none" w:sz="0" w:space="0" w:color="auto"/>
        <w:left w:val="none" w:sz="0" w:space="0" w:color="auto"/>
        <w:bottom w:val="none" w:sz="0" w:space="0" w:color="auto"/>
        <w:right w:val="none" w:sz="0" w:space="0" w:color="auto"/>
      </w:divBdr>
      <w:divsChild>
        <w:div w:id="1756786006">
          <w:marLeft w:val="0"/>
          <w:marRight w:val="0"/>
          <w:marTop w:val="0"/>
          <w:marBottom w:val="0"/>
          <w:divBdr>
            <w:top w:val="none" w:sz="0" w:space="0" w:color="auto"/>
            <w:left w:val="none" w:sz="0" w:space="0" w:color="auto"/>
            <w:bottom w:val="none" w:sz="0" w:space="0" w:color="auto"/>
            <w:right w:val="none" w:sz="0" w:space="0" w:color="auto"/>
          </w:divBdr>
          <w:divsChild>
            <w:div w:id="1756786008">
              <w:marLeft w:val="0"/>
              <w:marRight w:val="0"/>
              <w:marTop w:val="0"/>
              <w:marBottom w:val="0"/>
              <w:divBdr>
                <w:top w:val="none" w:sz="0" w:space="0" w:color="auto"/>
                <w:left w:val="none" w:sz="0" w:space="0" w:color="auto"/>
                <w:bottom w:val="none" w:sz="0" w:space="0" w:color="auto"/>
                <w:right w:val="none" w:sz="0" w:space="0" w:color="auto"/>
              </w:divBdr>
              <w:divsChild>
                <w:div w:id="1756785982">
                  <w:marLeft w:val="0"/>
                  <w:marRight w:val="-6084"/>
                  <w:marTop w:val="0"/>
                  <w:marBottom w:val="0"/>
                  <w:divBdr>
                    <w:top w:val="none" w:sz="0" w:space="0" w:color="auto"/>
                    <w:left w:val="none" w:sz="0" w:space="0" w:color="auto"/>
                    <w:bottom w:val="none" w:sz="0" w:space="0" w:color="auto"/>
                    <w:right w:val="none" w:sz="0" w:space="0" w:color="auto"/>
                  </w:divBdr>
                  <w:divsChild>
                    <w:div w:id="1756785987">
                      <w:marLeft w:val="0"/>
                      <w:marRight w:val="5604"/>
                      <w:marTop w:val="0"/>
                      <w:marBottom w:val="0"/>
                      <w:divBdr>
                        <w:top w:val="none" w:sz="0" w:space="0" w:color="auto"/>
                        <w:left w:val="none" w:sz="0" w:space="0" w:color="auto"/>
                        <w:bottom w:val="none" w:sz="0" w:space="0" w:color="auto"/>
                        <w:right w:val="none" w:sz="0" w:space="0" w:color="auto"/>
                      </w:divBdr>
                      <w:divsChild>
                        <w:div w:id="1756785992">
                          <w:marLeft w:val="0"/>
                          <w:marRight w:val="0"/>
                          <w:marTop w:val="0"/>
                          <w:marBottom w:val="0"/>
                          <w:divBdr>
                            <w:top w:val="none" w:sz="0" w:space="0" w:color="auto"/>
                            <w:left w:val="none" w:sz="0" w:space="0" w:color="auto"/>
                            <w:bottom w:val="none" w:sz="0" w:space="0" w:color="auto"/>
                            <w:right w:val="none" w:sz="0" w:space="0" w:color="auto"/>
                          </w:divBdr>
                          <w:divsChild>
                            <w:div w:id="175678599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786001">
      <w:marLeft w:val="0"/>
      <w:marRight w:val="0"/>
      <w:marTop w:val="0"/>
      <w:marBottom w:val="0"/>
      <w:divBdr>
        <w:top w:val="none" w:sz="0" w:space="0" w:color="auto"/>
        <w:left w:val="none" w:sz="0" w:space="0" w:color="auto"/>
        <w:bottom w:val="none" w:sz="0" w:space="0" w:color="auto"/>
        <w:right w:val="none" w:sz="0" w:space="0" w:color="auto"/>
      </w:divBdr>
    </w:div>
    <w:div w:id="1756786002">
      <w:marLeft w:val="0"/>
      <w:marRight w:val="0"/>
      <w:marTop w:val="0"/>
      <w:marBottom w:val="0"/>
      <w:divBdr>
        <w:top w:val="none" w:sz="0" w:space="0" w:color="auto"/>
        <w:left w:val="none" w:sz="0" w:space="0" w:color="auto"/>
        <w:bottom w:val="none" w:sz="0" w:space="0" w:color="auto"/>
        <w:right w:val="none" w:sz="0" w:space="0" w:color="auto"/>
      </w:divBdr>
      <w:divsChild>
        <w:div w:id="1756785993">
          <w:marLeft w:val="0"/>
          <w:marRight w:val="0"/>
          <w:marTop w:val="0"/>
          <w:marBottom w:val="0"/>
          <w:divBdr>
            <w:top w:val="none" w:sz="0" w:space="0" w:color="auto"/>
            <w:left w:val="none" w:sz="0" w:space="0" w:color="auto"/>
            <w:bottom w:val="none" w:sz="0" w:space="0" w:color="auto"/>
            <w:right w:val="none" w:sz="0" w:space="0" w:color="auto"/>
          </w:divBdr>
          <w:divsChild>
            <w:div w:id="1756785977">
              <w:marLeft w:val="0"/>
              <w:marRight w:val="0"/>
              <w:marTop w:val="0"/>
              <w:marBottom w:val="0"/>
              <w:divBdr>
                <w:top w:val="none" w:sz="0" w:space="0" w:color="auto"/>
                <w:left w:val="none" w:sz="0" w:space="0" w:color="auto"/>
                <w:bottom w:val="none" w:sz="0" w:space="0" w:color="auto"/>
                <w:right w:val="none" w:sz="0" w:space="0" w:color="auto"/>
              </w:divBdr>
              <w:divsChild>
                <w:div w:id="1756786012">
                  <w:marLeft w:val="0"/>
                  <w:marRight w:val="-6084"/>
                  <w:marTop w:val="0"/>
                  <w:marBottom w:val="0"/>
                  <w:divBdr>
                    <w:top w:val="none" w:sz="0" w:space="0" w:color="auto"/>
                    <w:left w:val="none" w:sz="0" w:space="0" w:color="auto"/>
                    <w:bottom w:val="none" w:sz="0" w:space="0" w:color="auto"/>
                    <w:right w:val="none" w:sz="0" w:space="0" w:color="auto"/>
                  </w:divBdr>
                  <w:divsChild>
                    <w:div w:id="1756786000">
                      <w:marLeft w:val="0"/>
                      <w:marRight w:val="5604"/>
                      <w:marTop w:val="0"/>
                      <w:marBottom w:val="0"/>
                      <w:divBdr>
                        <w:top w:val="none" w:sz="0" w:space="0" w:color="auto"/>
                        <w:left w:val="none" w:sz="0" w:space="0" w:color="auto"/>
                        <w:bottom w:val="none" w:sz="0" w:space="0" w:color="auto"/>
                        <w:right w:val="none" w:sz="0" w:space="0" w:color="auto"/>
                      </w:divBdr>
                      <w:divsChild>
                        <w:div w:id="1756785998">
                          <w:marLeft w:val="0"/>
                          <w:marRight w:val="0"/>
                          <w:marTop w:val="0"/>
                          <w:marBottom w:val="0"/>
                          <w:divBdr>
                            <w:top w:val="none" w:sz="0" w:space="0" w:color="auto"/>
                            <w:left w:val="none" w:sz="0" w:space="0" w:color="auto"/>
                            <w:bottom w:val="none" w:sz="0" w:space="0" w:color="auto"/>
                            <w:right w:val="none" w:sz="0" w:space="0" w:color="auto"/>
                          </w:divBdr>
                          <w:divsChild>
                            <w:div w:id="1756786007">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786003">
      <w:marLeft w:val="0"/>
      <w:marRight w:val="0"/>
      <w:marTop w:val="0"/>
      <w:marBottom w:val="0"/>
      <w:divBdr>
        <w:top w:val="none" w:sz="0" w:space="0" w:color="auto"/>
        <w:left w:val="none" w:sz="0" w:space="0" w:color="auto"/>
        <w:bottom w:val="none" w:sz="0" w:space="0" w:color="auto"/>
        <w:right w:val="none" w:sz="0" w:space="0" w:color="auto"/>
      </w:divBdr>
    </w:div>
    <w:div w:id="1756786004">
      <w:marLeft w:val="0"/>
      <w:marRight w:val="0"/>
      <w:marTop w:val="0"/>
      <w:marBottom w:val="0"/>
      <w:divBdr>
        <w:top w:val="none" w:sz="0" w:space="0" w:color="auto"/>
        <w:left w:val="none" w:sz="0" w:space="0" w:color="auto"/>
        <w:bottom w:val="none" w:sz="0" w:space="0" w:color="auto"/>
        <w:right w:val="none" w:sz="0" w:space="0" w:color="auto"/>
      </w:divBdr>
    </w:div>
    <w:div w:id="1756786005">
      <w:marLeft w:val="0"/>
      <w:marRight w:val="0"/>
      <w:marTop w:val="0"/>
      <w:marBottom w:val="0"/>
      <w:divBdr>
        <w:top w:val="none" w:sz="0" w:space="0" w:color="auto"/>
        <w:left w:val="none" w:sz="0" w:space="0" w:color="auto"/>
        <w:bottom w:val="none" w:sz="0" w:space="0" w:color="auto"/>
        <w:right w:val="none" w:sz="0" w:space="0" w:color="auto"/>
      </w:divBdr>
    </w:div>
    <w:div w:id="1756786009">
      <w:marLeft w:val="0"/>
      <w:marRight w:val="0"/>
      <w:marTop w:val="0"/>
      <w:marBottom w:val="0"/>
      <w:divBdr>
        <w:top w:val="none" w:sz="0" w:space="0" w:color="auto"/>
        <w:left w:val="none" w:sz="0" w:space="0" w:color="auto"/>
        <w:bottom w:val="none" w:sz="0" w:space="0" w:color="auto"/>
        <w:right w:val="none" w:sz="0" w:space="0" w:color="auto"/>
      </w:divBdr>
      <w:divsChild>
        <w:div w:id="1756785991">
          <w:marLeft w:val="0"/>
          <w:marRight w:val="0"/>
          <w:marTop w:val="0"/>
          <w:marBottom w:val="0"/>
          <w:divBdr>
            <w:top w:val="none" w:sz="0" w:space="0" w:color="auto"/>
            <w:left w:val="none" w:sz="0" w:space="0" w:color="auto"/>
            <w:bottom w:val="none" w:sz="0" w:space="0" w:color="auto"/>
            <w:right w:val="none" w:sz="0" w:space="0" w:color="auto"/>
          </w:divBdr>
        </w:div>
      </w:divsChild>
    </w:div>
    <w:div w:id="1756786010">
      <w:marLeft w:val="0"/>
      <w:marRight w:val="0"/>
      <w:marTop w:val="0"/>
      <w:marBottom w:val="0"/>
      <w:divBdr>
        <w:top w:val="none" w:sz="0" w:space="0" w:color="auto"/>
        <w:left w:val="none" w:sz="0" w:space="0" w:color="auto"/>
        <w:bottom w:val="none" w:sz="0" w:space="0" w:color="auto"/>
        <w:right w:val="none" w:sz="0" w:space="0" w:color="auto"/>
      </w:divBdr>
    </w:div>
    <w:div w:id="1756786011">
      <w:marLeft w:val="0"/>
      <w:marRight w:val="0"/>
      <w:marTop w:val="0"/>
      <w:marBottom w:val="0"/>
      <w:divBdr>
        <w:top w:val="none" w:sz="0" w:space="0" w:color="auto"/>
        <w:left w:val="none" w:sz="0" w:space="0" w:color="auto"/>
        <w:bottom w:val="none" w:sz="0" w:space="0" w:color="auto"/>
        <w:right w:val="none" w:sz="0" w:space="0" w:color="auto"/>
      </w:divBdr>
    </w:div>
    <w:div w:id="1756786013">
      <w:marLeft w:val="0"/>
      <w:marRight w:val="0"/>
      <w:marTop w:val="0"/>
      <w:marBottom w:val="0"/>
      <w:divBdr>
        <w:top w:val="none" w:sz="0" w:space="0" w:color="auto"/>
        <w:left w:val="none" w:sz="0" w:space="0" w:color="auto"/>
        <w:bottom w:val="none" w:sz="0" w:space="0" w:color="auto"/>
        <w:right w:val="none" w:sz="0" w:space="0" w:color="auto"/>
      </w:divBdr>
    </w:div>
    <w:div w:id="1780835648">
      <w:bodyDiv w:val="1"/>
      <w:marLeft w:val="0"/>
      <w:marRight w:val="0"/>
      <w:marTop w:val="0"/>
      <w:marBottom w:val="0"/>
      <w:divBdr>
        <w:top w:val="none" w:sz="0" w:space="0" w:color="auto"/>
        <w:left w:val="none" w:sz="0" w:space="0" w:color="auto"/>
        <w:bottom w:val="none" w:sz="0" w:space="0" w:color="auto"/>
        <w:right w:val="none" w:sz="0" w:space="0" w:color="auto"/>
      </w:divBdr>
    </w:div>
    <w:div w:id="1801261283">
      <w:bodyDiv w:val="1"/>
      <w:marLeft w:val="0"/>
      <w:marRight w:val="0"/>
      <w:marTop w:val="0"/>
      <w:marBottom w:val="0"/>
      <w:divBdr>
        <w:top w:val="none" w:sz="0" w:space="0" w:color="auto"/>
        <w:left w:val="none" w:sz="0" w:space="0" w:color="auto"/>
        <w:bottom w:val="none" w:sz="0" w:space="0" w:color="auto"/>
        <w:right w:val="none" w:sz="0" w:space="0" w:color="auto"/>
      </w:divBdr>
      <w:divsChild>
        <w:div w:id="612710388">
          <w:marLeft w:val="720"/>
          <w:marRight w:val="0"/>
          <w:marTop w:val="0"/>
          <w:marBottom w:val="0"/>
          <w:divBdr>
            <w:top w:val="none" w:sz="0" w:space="0" w:color="auto"/>
            <w:left w:val="none" w:sz="0" w:space="0" w:color="auto"/>
            <w:bottom w:val="none" w:sz="0" w:space="0" w:color="auto"/>
            <w:right w:val="none" w:sz="0" w:space="0" w:color="auto"/>
          </w:divBdr>
        </w:div>
        <w:div w:id="1779058536">
          <w:marLeft w:val="720"/>
          <w:marRight w:val="0"/>
          <w:marTop w:val="0"/>
          <w:marBottom w:val="0"/>
          <w:divBdr>
            <w:top w:val="none" w:sz="0" w:space="0" w:color="auto"/>
            <w:left w:val="none" w:sz="0" w:space="0" w:color="auto"/>
            <w:bottom w:val="none" w:sz="0" w:space="0" w:color="auto"/>
            <w:right w:val="none" w:sz="0" w:space="0" w:color="auto"/>
          </w:divBdr>
        </w:div>
      </w:divsChild>
    </w:div>
    <w:div w:id="1883131962">
      <w:bodyDiv w:val="1"/>
      <w:marLeft w:val="0"/>
      <w:marRight w:val="0"/>
      <w:marTop w:val="0"/>
      <w:marBottom w:val="0"/>
      <w:divBdr>
        <w:top w:val="none" w:sz="0" w:space="0" w:color="auto"/>
        <w:left w:val="none" w:sz="0" w:space="0" w:color="auto"/>
        <w:bottom w:val="none" w:sz="0" w:space="0" w:color="auto"/>
        <w:right w:val="none" w:sz="0" w:space="0" w:color="auto"/>
      </w:divBdr>
    </w:div>
    <w:div w:id="1891576321">
      <w:bodyDiv w:val="1"/>
      <w:marLeft w:val="0"/>
      <w:marRight w:val="0"/>
      <w:marTop w:val="0"/>
      <w:marBottom w:val="0"/>
      <w:divBdr>
        <w:top w:val="none" w:sz="0" w:space="0" w:color="auto"/>
        <w:left w:val="none" w:sz="0" w:space="0" w:color="auto"/>
        <w:bottom w:val="none" w:sz="0" w:space="0" w:color="auto"/>
        <w:right w:val="none" w:sz="0" w:space="0" w:color="auto"/>
      </w:divBdr>
    </w:div>
    <w:div w:id="1958024168">
      <w:bodyDiv w:val="1"/>
      <w:marLeft w:val="0"/>
      <w:marRight w:val="0"/>
      <w:marTop w:val="0"/>
      <w:marBottom w:val="0"/>
      <w:divBdr>
        <w:top w:val="none" w:sz="0" w:space="0" w:color="auto"/>
        <w:left w:val="none" w:sz="0" w:space="0" w:color="auto"/>
        <w:bottom w:val="none" w:sz="0" w:space="0" w:color="auto"/>
        <w:right w:val="none" w:sz="0" w:space="0" w:color="auto"/>
      </w:divBdr>
    </w:div>
    <w:div w:id="2042590727">
      <w:bodyDiv w:val="1"/>
      <w:marLeft w:val="0"/>
      <w:marRight w:val="0"/>
      <w:marTop w:val="0"/>
      <w:marBottom w:val="0"/>
      <w:divBdr>
        <w:top w:val="none" w:sz="0" w:space="0" w:color="auto"/>
        <w:left w:val="none" w:sz="0" w:space="0" w:color="auto"/>
        <w:bottom w:val="none" w:sz="0" w:space="0" w:color="auto"/>
        <w:right w:val="none" w:sz="0" w:space="0" w:color="auto"/>
      </w:divBdr>
    </w:div>
    <w:div w:id="2052804056">
      <w:bodyDiv w:val="1"/>
      <w:marLeft w:val="0"/>
      <w:marRight w:val="0"/>
      <w:marTop w:val="0"/>
      <w:marBottom w:val="0"/>
      <w:divBdr>
        <w:top w:val="none" w:sz="0" w:space="0" w:color="auto"/>
        <w:left w:val="none" w:sz="0" w:space="0" w:color="auto"/>
        <w:bottom w:val="none" w:sz="0" w:space="0" w:color="auto"/>
        <w:right w:val="none" w:sz="0" w:space="0" w:color="auto"/>
      </w:divBdr>
    </w:div>
    <w:div w:id="2069038045">
      <w:bodyDiv w:val="1"/>
      <w:marLeft w:val="0"/>
      <w:marRight w:val="0"/>
      <w:marTop w:val="0"/>
      <w:marBottom w:val="0"/>
      <w:divBdr>
        <w:top w:val="none" w:sz="0" w:space="0" w:color="auto"/>
        <w:left w:val="none" w:sz="0" w:space="0" w:color="auto"/>
        <w:bottom w:val="none" w:sz="0" w:space="0" w:color="auto"/>
        <w:right w:val="none" w:sz="0" w:space="0" w:color="auto"/>
      </w:divBdr>
      <w:divsChild>
        <w:div w:id="943194499">
          <w:marLeft w:val="2160"/>
          <w:marRight w:val="0"/>
          <w:marTop w:val="0"/>
          <w:marBottom w:val="0"/>
          <w:divBdr>
            <w:top w:val="none" w:sz="0" w:space="0" w:color="auto"/>
            <w:left w:val="none" w:sz="0" w:space="0" w:color="auto"/>
            <w:bottom w:val="none" w:sz="0" w:space="0" w:color="auto"/>
            <w:right w:val="none" w:sz="0" w:space="0" w:color="auto"/>
          </w:divBdr>
        </w:div>
      </w:divsChild>
    </w:div>
    <w:div w:id="2109546091">
      <w:bodyDiv w:val="1"/>
      <w:marLeft w:val="0"/>
      <w:marRight w:val="0"/>
      <w:marTop w:val="0"/>
      <w:marBottom w:val="0"/>
      <w:divBdr>
        <w:top w:val="none" w:sz="0" w:space="0" w:color="auto"/>
        <w:left w:val="none" w:sz="0" w:space="0" w:color="auto"/>
        <w:bottom w:val="none" w:sz="0" w:space="0" w:color="auto"/>
        <w:right w:val="none" w:sz="0" w:space="0" w:color="auto"/>
      </w:divBdr>
    </w:div>
    <w:div w:id="2142376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image" Target="media/image5.emf"/><Relationship Id="rId26" Type="http://schemas.openxmlformats.org/officeDocument/2006/relationships/image" Target="media/image10.png"/><Relationship Id="rId39" Type="http://schemas.openxmlformats.org/officeDocument/2006/relationships/footer" Target="footer2.xml"/><Relationship Id="rId21" Type="http://schemas.openxmlformats.org/officeDocument/2006/relationships/hyperlink" Target="https://www.tib-molbiol.de" TargetMode="External"/><Relationship Id="rId34" Type="http://schemas.openxmlformats.org/officeDocument/2006/relationships/hyperlink" Target="http://wwwfaoorg/resources/infographics/infographics-details/fr/c/23270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bi.ac.uk/ena" TargetMode="External"/><Relationship Id="rId20" Type="http://schemas.openxmlformats.org/officeDocument/2006/relationships/hyperlink" Target="https://www.quantabio.com" TargetMode="External"/><Relationship Id="rId29" Type="http://schemas.openxmlformats.org/officeDocument/2006/relationships/image" Target="media/image13.e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8.emf"/><Relationship Id="rId32" Type="http://schemas.openxmlformats.org/officeDocument/2006/relationships/image" Target="media/image16.emf"/><Relationship Id="rId37" Type="http://schemas.openxmlformats.org/officeDocument/2006/relationships/hyperlink" Target="http://wwwfranceagrimerfr/"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cbi.nlm.nih.gov/" TargetMode="Externa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hyperlink" Target="http://wwwfranceagrimerfr/" TargetMode="External"/><Relationship Id="rId10" Type="http://schemas.openxmlformats.org/officeDocument/2006/relationships/image" Target="media/image3.jpeg"/><Relationship Id="rId19" Type="http://schemas.openxmlformats.org/officeDocument/2006/relationships/hyperlink" Target="https://bigsdb.pasteur.fr/cgi-bin/bigsdb/bigsdb.pl?db=pubmlst_listeria_seqdef" TargetMode="External"/><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url-listeria.anses.fr/" TargetMode="Externa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hyperlink" Target="Http://wwwfranceagrimerfr/"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s://www.ncbi.nlm.nih.gov/assembly" TargetMode="External"/><Relationship Id="rId25" Type="http://schemas.openxmlformats.org/officeDocument/2006/relationships/image" Target="media/image9.png"/><Relationship Id="rId33" Type="http://schemas.openxmlformats.org/officeDocument/2006/relationships/image" Target="media/image17.emf"/><Relationship Id="rId38"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Classeur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A9-46F5-A777-A57F3E43ED2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A9-46F5-A777-A57F3E43ED2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5A9-46F5-A777-A57F3E43ED2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5A9-46F5-A777-A57F3E43ED22}"/>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5A9-46F5-A777-A57F3E43ED2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Feuil1!$I$26:$I$30</c:f>
              <c:strCache>
                <c:ptCount val="5"/>
                <c:pt idx="0">
                  <c:v>Environnement saumon</c:v>
                </c:pt>
                <c:pt idx="1">
                  <c:v>Saumon frais</c:v>
                </c:pt>
                <c:pt idx="2">
                  <c:v>Saumon fumée</c:v>
                </c:pt>
                <c:pt idx="3">
                  <c:v>Truite fumée</c:v>
                </c:pt>
                <c:pt idx="4">
                  <c:v>Truite matiére première</c:v>
                </c:pt>
              </c:strCache>
            </c:strRef>
          </c:cat>
          <c:val>
            <c:numRef>
              <c:f>Feuil1!$J$26:$J$30</c:f>
              <c:numCache>
                <c:formatCode>General</c:formatCode>
                <c:ptCount val="5"/>
                <c:pt idx="0">
                  <c:v>25</c:v>
                </c:pt>
                <c:pt idx="1">
                  <c:v>3</c:v>
                </c:pt>
                <c:pt idx="2">
                  <c:v>647</c:v>
                </c:pt>
                <c:pt idx="3">
                  <c:v>9</c:v>
                </c:pt>
                <c:pt idx="4">
                  <c:v>20</c:v>
                </c:pt>
              </c:numCache>
            </c:numRef>
          </c:val>
          <c:extLst>
            <c:ext xmlns:c16="http://schemas.microsoft.com/office/drawing/2014/chart" uri="{C3380CC4-5D6E-409C-BE32-E72D297353CC}">
              <c16:uniqueId val="{0000000A-25A9-46F5-A777-A57F3E43ED2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BA2-41F7-9C20-BB2EBFD6579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A2-41F7-9C20-BB2EBFD6579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A2-41F7-9C20-BB2EBFD6579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A2-41F7-9C20-BB2EBFD6579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BA2-41F7-9C20-BB2EBFD6579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BA2-41F7-9C20-BB2EBFD65794}"/>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BA2-41F7-9C20-BB2EBFD65794}"/>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0BA2-41F7-9C20-BB2EBFD65794}"/>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0BA2-41F7-9C20-BB2EBFD65794}"/>
              </c:ext>
            </c:extLst>
          </c:dPt>
          <c:dLbls>
            <c:dLbl>
              <c:idx val="6"/>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6="http://schemas.microsoft.com/office/drawing/2014/chart" uri="{C3380CC4-5D6E-409C-BE32-E72D297353CC}">
                  <c16:uniqueId val="{0000000D-0BA2-41F7-9C20-BB2EBFD65794}"/>
                </c:ext>
              </c:extLst>
            </c:dLbl>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fr-FR"/>
                </a:p>
              </c:txPr>
              <c:showLegendKey val="0"/>
              <c:showVal val="1"/>
              <c:showCatName val="0"/>
              <c:showSerName val="0"/>
              <c:showPercent val="0"/>
              <c:showBubbleSize val="0"/>
              <c:extLst>
                <c:ext xmlns:c16="http://schemas.microsoft.com/office/drawing/2014/chart" uri="{C3380CC4-5D6E-409C-BE32-E72D297353CC}">
                  <c16:uniqueId val="{0000000F-0BA2-41F7-9C20-BB2EBFD65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Feuil1!$I$42:$I$50</c:f>
              <c:strCache>
                <c:ptCount val="9"/>
                <c:pt idx="0">
                  <c:v>Entreprise A</c:v>
                </c:pt>
                <c:pt idx="1">
                  <c:v>Entreprise B</c:v>
                </c:pt>
                <c:pt idx="2">
                  <c:v>Entreprise C</c:v>
                </c:pt>
                <c:pt idx="3">
                  <c:v>Entreprise D</c:v>
                </c:pt>
                <c:pt idx="4">
                  <c:v>Entreprise E</c:v>
                </c:pt>
                <c:pt idx="5">
                  <c:v>Entreprise F</c:v>
                </c:pt>
                <c:pt idx="6">
                  <c:v>Entreprise G</c:v>
                </c:pt>
                <c:pt idx="7">
                  <c:v>Entreprise H</c:v>
                </c:pt>
                <c:pt idx="8">
                  <c:v>Entreprise I</c:v>
                </c:pt>
              </c:strCache>
            </c:strRef>
          </c:cat>
          <c:val>
            <c:numRef>
              <c:f>Feuil1!$J$42:$J$50</c:f>
              <c:numCache>
                <c:formatCode>General</c:formatCode>
                <c:ptCount val="9"/>
                <c:pt idx="0">
                  <c:v>3</c:v>
                </c:pt>
                <c:pt idx="1">
                  <c:v>56</c:v>
                </c:pt>
                <c:pt idx="2">
                  <c:v>26</c:v>
                </c:pt>
                <c:pt idx="3">
                  <c:v>43</c:v>
                </c:pt>
                <c:pt idx="4">
                  <c:v>48</c:v>
                </c:pt>
                <c:pt idx="5">
                  <c:v>155</c:v>
                </c:pt>
                <c:pt idx="6">
                  <c:v>86</c:v>
                </c:pt>
                <c:pt idx="7">
                  <c:v>126</c:v>
                </c:pt>
                <c:pt idx="8">
                  <c:v>161</c:v>
                </c:pt>
              </c:numCache>
            </c:numRef>
          </c:val>
          <c:extLst>
            <c:ext xmlns:c16="http://schemas.microsoft.com/office/drawing/2014/chart" uri="{C3380CC4-5D6E-409C-BE32-E72D297353CC}">
              <c16:uniqueId val="{00000012-0BA2-41F7-9C20-BB2EBFD6579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03A996-DE31-4402-86CC-C8B849B88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50</Pages>
  <Words>22551</Words>
  <Characters>124035</Characters>
  <Application>Microsoft Office Word</Application>
  <DocSecurity>0</DocSecurity>
  <Lines>1033</Lines>
  <Paragraphs>292</Paragraphs>
  <ScaleCrop>false</ScaleCrop>
  <HeadingPairs>
    <vt:vector size="2" baseType="variant">
      <vt:variant>
        <vt:lpstr>Titre</vt:lpstr>
      </vt:variant>
      <vt:variant>
        <vt:i4>1</vt:i4>
      </vt:variant>
    </vt:vector>
  </HeadingPairs>
  <TitlesOfParts>
    <vt:vector size="1" baseType="lpstr">
      <vt:lpstr>Appel à projet 2001 – programme Aliment Qualité Sécurité Dossier scientifique et technique</vt:lpstr>
    </vt:vector>
  </TitlesOfParts>
  <Company>ADRIA NORMANDIE</Company>
  <LinksUpToDate>false</LinksUpToDate>
  <CharactersWithSpaces>146294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Appel à projet 2001 – programme Aliment Qualité Sécurité Dossier scientifique et technique</dc:title>
  <dc:subject/>
  <dc:creator>ADRIA NORMANDIE</dc:creator>
  <cp:keywords/>
  <dc:description/>
  <cp:lastModifiedBy>BOURDIN Graziella</cp:lastModifiedBy>
  <cp:revision>28</cp:revision>
  <cp:lastPrinted>2021-04-30T11:37:00Z</cp:lastPrinted>
  <dcterms:created xsi:type="dcterms:W3CDTF">2021-05-26T08:52:00Z</dcterms:created>
  <dcterms:modified xsi:type="dcterms:W3CDTF">2021-05-27T15:55:00Z</dcterms:modified>
</cp:coreProperties>
</file>